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108E0" w14:textId="77777777" w:rsidR="00513D11" w:rsidRPr="00FC54E2" w:rsidRDefault="00513D11" w:rsidP="00513D11">
      <w:pPr>
        <w:jc w:val="both"/>
        <w:rPr>
          <w:rFonts w:cs="Arial"/>
          <w:b/>
          <w:color w:val="FF0000"/>
          <w:sz w:val="20"/>
          <w:szCs w:val="20"/>
        </w:rPr>
      </w:pPr>
      <w:r w:rsidRPr="00FC54E2">
        <w:rPr>
          <w:rFonts w:cs="Arial"/>
          <w:b/>
          <w:color w:val="FF0000"/>
          <w:sz w:val="20"/>
          <w:szCs w:val="20"/>
        </w:rPr>
        <w:t xml:space="preserve">Nota: </w:t>
      </w:r>
    </w:p>
    <w:p w14:paraId="75CE4D84" w14:textId="77777777" w:rsidR="00513D11" w:rsidRPr="00FC54E2" w:rsidRDefault="00513D11" w:rsidP="00513D11">
      <w:pPr>
        <w:pStyle w:val="Prrafodelista"/>
        <w:numPr>
          <w:ilvl w:val="0"/>
          <w:numId w:val="1"/>
        </w:numPr>
        <w:jc w:val="both"/>
        <w:rPr>
          <w:rFonts w:cs="Arial"/>
          <w:b/>
          <w:color w:val="FF0000"/>
          <w:sz w:val="20"/>
          <w:szCs w:val="20"/>
        </w:rPr>
      </w:pPr>
      <w:r w:rsidRPr="00FC54E2">
        <w:rPr>
          <w:rFonts w:cs="Arial"/>
          <w:b/>
          <w:color w:val="FF0000"/>
          <w:sz w:val="20"/>
          <w:szCs w:val="20"/>
        </w:rPr>
        <w:t xml:space="preserve">Los textos en gris corresponden a la descripción de la sección indicada para orientar a los proponentes.  </w:t>
      </w:r>
      <w:r w:rsidRPr="00FC54E2">
        <w:rPr>
          <w:rFonts w:cs="Arial"/>
          <w:b/>
          <w:color w:val="FF0000"/>
          <w:sz w:val="20"/>
          <w:szCs w:val="20"/>
          <w:u w:val="single"/>
        </w:rPr>
        <w:t>Deberán ser borrados al momento de presentar su propuesta.</w:t>
      </w:r>
    </w:p>
    <w:p w14:paraId="0680C07C" w14:textId="77777777" w:rsidR="00513D11" w:rsidRPr="00FC54E2" w:rsidRDefault="00513D11" w:rsidP="00513D11">
      <w:pPr>
        <w:jc w:val="both"/>
        <w:rPr>
          <w:rFonts w:cs="Arial"/>
          <w:b/>
          <w:color w:val="FF0000"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62"/>
      </w:tblGrid>
      <w:tr w:rsidR="00513D11" w:rsidRPr="00FC54E2" w14:paraId="03EAC402" w14:textId="77777777" w:rsidTr="00FC0F72">
        <w:trPr>
          <w:trHeight w:val="283"/>
        </w:trPr>
        <w:tc>
          <w:tcPr>
            <w:tcW w:w="5000" w:type="pct"/>
            <w:shd w:val="clear" w:color="auto" w:fill="8DB3E2"/>
            <w:vAlign w:val="center"/>
          </w:tcPr>
          <w:p w14:paraId="14650E85" w14:textId="7A2750DE" w:rsidR="00513D11" w:rsidRPr="00FC54E2" w:rsidRDefault="00513D11" w:rsidP="00FC0F72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FC54E2">
              <w:rPr>
                <w:rFonts w:cs="Arial"/>
                <w:b/>
                <w:sz w:val="20"/>
                <w:szCs w:val="20"/>
              </w:rPr>
              <w:t xml:space="preserve">ANEXO </w:t>
            </w:r>
            <w:r w:rsidR="00AE088E">
              <w:rPr>
                <w:rFonts w:cs="Arial"/>
                <w:b/>
                <w:sz w:val="20"/>
                <w:szCs w:val="20"/>
              </w:rPr>
              <w:t>7</w:t>
            </w:r>
          </w:p>
        </w:tc>
      </w:tr>
      <w:tr w:rsidR="00513D11" w:rsidRPr="00FC54E2" w14:paraId="63417B9D" w14:textId="77777777" w:rsidTr="00FC0F72">
        <w:trPr>
          <w:trHeight w:val="624"/>
        </w:trPr>
        <w:tc>
          <w:tcPr>
            <w:tcW w:w="5000" w:type="pct"/>
            <w:shd w:val="clear" w:color="auto" w:fill="8DB3E2"/>
            <w:vAlign w:val="center"/>
          </w:tcPr>
          <w:p w14:paraId="606E4356" w14:textId="2DF4DC02" w:rsidR="00513D11" w:rsidRPr="00FC54E2" w:rsidRDefault="00AE088E" w:rsidP="00FC0F72">
            <w:pPr>
              <w:spacing w:after="12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DOCUMENTOS</w:t>
            </w:r>
            <w:r w:rsidR="001B69B9">
              <w:rPr>
                <w:rFonts w:cs="Arial"/>
                <w:b/>
                <w:sz w:val="20"/>
                <w:szCs w:val="20"/>
              </w:rPr>
              <w:t xml:space="preserve"> LEGALES</w:t>
            </w:r>
          </w:p>
          <w:p w14:paraId="011A2671" w14:textId="77777777" w:rsidR="00513D11" w:rsidRPr="00FC54E2" w:rsidRDefault="00513D11" w:rsidP="00FC0F72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FC54E2">
              <w:rPr>
                <w:rFonts w:cs="Arial"/>
                <w:b/>
                <w:sz w:val="20"/>
                <w:szCs w:val="20"/>
              </w:rPr>
              <w:t>(Utilice espacio simple, fuente Arial tamaño 10 pt.)</w:t>
            </w:r>
          </w:p>
        </w:tc>
      </w:tr>
    </w:tbl>
    <w:p w14:paraId="62302993" w14:textId="0D4550DE" w:rsidR="00513D11" w:rsidRDefault="00513D11" w:rsidP="00513D11">
      <w:pPr>
        <w:rPr>
          <w:rFonts w:cs="Arial"/>
          <w:b/>
          <w:sz w:val="20"/>
          <w:szCs w:val="20"/>
        </w:rPr>
      </w:pPr>
    </w:p>
    <w:p w14:paraId="0C71DE36" w14:textId="77777777" w:rsidR="00AE088E" w:rsidRPr="00FC54E2" w:rsidRDefault="00AE088E" w:rsidP="00AE088E">
      <w:pPr>
        <w:rPr>
          <w:rFonts w:cs="Arial"/>
          <w:b/>
          <w:sz w:val="20"/>
          <w:szCs w:val="20"/>
          <w:u w:val="single"/>
        </w:rPr>
      </w:pPr>
    </w:p>
    <w:p w14:paraId="07666DBA" w14:textId="65C26F39" w:rsidR="00AE088E" w:rsidRPr="00FC0F72" w:rsidRDefault="00AE088E" w:rsidP="00AE088E">
      <w:pPr>
        <w:pStyle w:val="Sinespaciado"/>
        <w:numPr>
          <w:ilvl w:val="0"/>
          <w:numId w:val="5"/>
        </w:numPr>
        <w:rPr>
          <w:rFonts w:ascii="Arial" w:hAnsi="Arial" w:cs="Arial"/>
          <w:b/>
          <w:bCs/>
          <w:sz w:val="20"/>
          <w:szCs w:val="20"/>
        </w:rPr>
      </w:pPr>
      <w:r w:rsidRPr="00FC0F72">
        <w:rPr>
          <w:rFonts w:ascii="Arial" w:hAnsi="Arial" w:cs="Arial"/>
          <w:b/>
          <w:bCs/>
          <w:sz w:val="20"/>
          <w:szCs w:val="20"/>
        </w:rPr>
        <w:t xml:space="preserve">Documento que evidencia la creación de la Asociación de Interés Público (AIP): </w:t>
      </w:r>
      <w:r w:rsidR="007F7820">
        <w:rPr>
          <w:rFonts w:ascii="Arial" w:hAnsi="Arial" w:cs="Arial"/>
          <w:b/>
          <w:bCs/>
          <w:sz w:val="20"/>
          <w:szCs w:val="20"/>
        </w:rPr>
        <w:t>C</w:t>
      </w:r>
      <w:r w:rsidRPr="00FC0F72">
        <w:rPr>
          <w:rFonts w:ascii="Arial" w:hAnsi="Arial" w:cs="Arial"/>
          <w:b/>
          <w:bCs/>
          <w:sz w:val="20"/>
          <w:szCs w:val="20"/>
        </w:rPr>
        <w:t>ertificado de Registro Público indicando los miembros que conforman la Junta Directiva.</w:t>
      </w:r>
    </w:p>
    <w:p w14:paraId="2CF49E55" w14:textId="4CB8043A" w:rsidR="00925E93" w:rsidRPr="00FC0F72" w:rsidRDefault="00AE088E" w:rsidP="00FC0F72">
      <w:pPr>
        <w:pStyle w:val="Sinespaciado"/>
        <w:ind w:left="360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FC54E2">
        <w:rPr>
          <w:rFonts w:ascii="Arial" w:hAnsi="Arial" w:cs="Arial"/>
          <w:color w:val="808080" w:themeColor="background1" w:themeShade="80"/>
          <w:sz w:val="20"/>
          <w:szCs w:val="20"/>
        </w:rPr>
        <w:t xml:space="preserve">Copia de certificado de Registro Público de inscripción de la Personería Jurídica donde constan los miembros que conforman la Junta Directiva. </w:t>
      </w:r>
    </w:p>
    <w:p w14:paraId="7B83E7BD" w14:textId="77777777" w:rsidR="00FC0F72" w:rsidRDefault="00FC0F72" w:rsidP="00925E93">
      <w:pPr>
        <w:pStyle w:val="Sinespaciado"/>
        <w:ind w:left="360"/>
        <w:rPr>
          <w:rFonts w:ascii="Arial" w:hAnsi="Arial" w:cs="Arial"/>
          <w:sz w:val="20"/>
          <w:szCs w:val="20"/>
        </w:rPr>
      </w:pPr>
    </w:p>
    <w:p w14:paraId="102836F3" w14:textId="67A1A51C" w:rsidR="00941E85" w:rsidRDefault="00941E85" w:rsidP="00941E85">
      <w:pPr>
        <w:pStyle w:val="Prrafodelista"/>
        <w:numPr>
          <w:ilvl w:val="0"/>
          <w:numId w:val="5"/>
        </w:numPr>
        <w:rPr>
          <w:rFonts w:eastAsia="MS Mincho" w:cs="Arial"/>
          <w:b/>
          <w:bCs/>
          <w:sz w:val="20"/>
          <w:szCs w:val="20"/>
          <w:lang w:eastAsia="ja-JP"/>
        </w:rPr>
      </w:pPr>
      <w:r w:rsidRPr="00EF2EB1">
        <w:rPr>
          <w:rFonts w:eastAsia="MS Mincho" w:cs="Arial"/>
          <w:b/>
          <w:bCs/>
          <w:sz w:val="20"/>
          <w:szCs w:val="20"/>
          <w:lang w:eastAsia="ja-JP"/>
        </w:rPr>
        <w:t xml:space="preserve">Certificado de participación en el Taller de Presentación de Propuestas para la </w:t>
      </w:r>
      <w:r w:rsidR="00E660BA">
        <w:rPr>
          <w:rFonts w:eastAsia="MS Mincho" w:cs="Arial"/>
          <w:b/>
          <w:bCs/>
          <w:sz w:val="20"/>
          <w:szCs w:val="20"/>
          <w:lang w:eastAsia="ja-JP"/>
        </w:rPr>
        <w:t>C</w:t>
      </w:r>
      <w:r w:rsidRPr="00EF2EB1">
        <w:rPr>
          <w:rFonts w:eastAsia="MS Mincho" w:cs="Arial"/>
          <w:b/>
          <w:bCs/>
          <w:sz w:val="20"/>
          <w:szCs w:val="20"/>
          <w:lang w:eastAsia="ja-JP"/>
        </w:rPr>
        <w:t>onvocatoria de Creación de Centros de I+D+i Regionales 2021</w:t>
      </w:r>
      <w:r w:rsidR="007F7820">
        <w:rPr>
          <w:rFonts w:eastAsia="MS Mincho" w:cs="Arial"/>
          <w:b/>
          <w:bCs/>
          <w:sz w:val="20"/>
          <w:szCs w:val="20"/>
          <w:lang w:eastAsia="ja-JP"/>
        </w:rPr>
        <w:t>.</w:t>
      </w:r>
    </w:p>
    <w:p w14:paraId="18ECCEA6" w14:textId="367E66EE" w:rsidR="00E660BA" w:rsidRPr="00E660BA" w:rsidRDefault="00E660BA" w:rsidP="00E660BA">
      <w:pPr>
        <w:pStyle w:val="Prrafodelista"/>
        <w:ind w:left="360"/>
        <w:rPr>
          <w:rFonts w:eastAsia="MS Mincho" w:cs="Arial"/>
          <w:color w:val="808080" w:themeColor="background1" w:themeShade="80"/>
          <w:sz w:val="20"/>
          <w:szCs w:val="20"/>
          <w:lang w:eastAsia="ja-JP"/>
        </w:rPr>
      </w:pPr>
      <w:r w:rsidRPr="00E660BA">
        <w:rPr>
          <w:rFonts w:eastAsia="MS Mincho" w:cs="Arial"/>
          <w:color w:val="808080" w:themeColor="background1" w:themeShade="80"/>
          <w:sz w:val="20"/>
          <w:szCs w:val="20"/>
          <w:lang w:eastAsia="ja-JP"/>
        </w:rPr>
        <w:t xml:space="preserve">Certifica la </w:t>
      </w:r>
      <w:r w:rsidRPr="00E660BA">
        <w:rPr>
          <w:rFonts w:eastAsia="MS Mincho" w:cs="Arial"/>
          <w:color w:val="808080" w:themeColor="background1" w:themeShade="80"/>
          <w:sz w:val="20"/>
          <w:szCs w:val="20"/>
          <w:lang w:eastAsia="ja-JP"/>
        </w:rPr>
        <w:t>participación</w:t>
      </w:r>
      <w:r w:rsidRPr="00E660BA">
        <w:rPr>
          <w:rFonts w:eastAsia="MS Mincho" w:cs="Arial"/>
          <w:color w:val="808080" w:themeColor="background1" w:themeShade="80"/>
          <w:sz w:val="20"/>
          <w:szCs w:val="20"/>
          <w:lang w:eastAsia="ja-JP"/>
        </w:rPr>
        <w:t xml:space="preserve"> en el Taller de Presentación de Propuestas para la </w:t>
      </w:r>
      <w:r>
        <w:rPr>
          <w:rFonts w:eastAsia="MS Mincho" w:cs="Arial"/>
          <w:color w:val="808080" w:themeColor="background1" w:themeShade="80"/>
          <w:sz w:val="20"/>
          <w:szCs w:val="20"/>
          <w:lang w:eastAsia="ja-JP"/>
        </w:rPr>
        <w:t>C</w:t>
      </w:r>
      <w:r w:rsidRPr="00E660BA">
        <w:rPr>
          <w:rFonts w:eastAsia="MS Mincho" w:cs="Arial"/>
          <w:color w:val="808080" w:themeColor="background1" w:themeShade="80"/>
          <w:sz w:val="20"/>
          <w:szCs w:val="20"/>
          <w:lang w:eastAsia="ja-JP"/>
        </w:rPr>
        <w:t>onvocatoria de Creación de Centros Regionales de Investigación</w:t>
      </w:r>
      <w:r>
        <w:rPr>
          <w:rFonts w:eastAsia="MS Mincho" w:cs="Arial"/>
          <w:color w:val="808080" w:themeColor="background1" w:themeShade="80"/>
          <w:sz w:val="20"/>
          <w:szCs w:val="20"/>
          <w:lang w:eastAsia="ja-JP"/>
        </w:rPr>
        <w:t xml:space="preserve"> </w:t>
      </w:r>
      <w:r w:rsidRPr="00E660BA">
        <w:rPr>
          <w:rFonts w:eastAsia="MS Mincho" w:cs="Arial"/>
          <w:color w:val="808080" w:themeColor="background1" w:themeShade="80"/>
          <w:sz w:val="20"/>
          <w:szCs w:val="20"/>
          <w:lang w:eastAsia="ja-JP"/>
        </w:rPr>
        <w:t>(I+D+i) 2021, orientado a fortalecer capacidades técnicas y metodológicas para la formulación de iniciativas estratégicas en el territorio.</w:t>
      </w:r>
    </w:p>
    <w:p w14:paraId="694FEC16" w14:textId="77777777" w:rsidR="00ED3F9E" w:rsidRDefault="00ED3F9E" w:rsidP="00ED3F9E">
      <w:pPr>
        <w:pStyle w:val="Prrafodelista"/>
        <w:ind w:left="360"/>
        <w:rPr>
          <w:rFonts w:eastAsia="MS Mincho" w:cs="Arial"/>
          <w:b/>
          <w:bCs/>
          <w:sz w:val="20"/>
          <w:szCs w:val="20"/>
          <w:lang w:eastAsia="ja-JP"/>
        </w:rPr>
      </w:pPr>
    </w:p>
    <w:p w14:paraId="14820C9D" w14:textId="6EFC2E00" w:rsidR="00ED3F9E" w:rsidRPr="00EF2EB1" w:rsidRDefault="00ED3F9E" w:rsidP="00941E85">
      <w:pPr>
        <w:pStyle w:val="Prrafodelista"/>
        <w:numPr>
          <w:ilvl w:val="0"/>
          <w:numId w:val="5"/>
        </w:numPr>
        <w:rPr>
          <w:rFonts w:eastAsia="MS Mincho" w:cs="Arial"/>
          <w:b/>
          <w:bCs/>
          <w:sz w:val="20"/>
          <w:szCs w:val="20"/>
          <w:lang w:eastAsia="ja-JP"/>
        </w:rPr>
      </w:pPr>
      <w:r w:rsidRPr="00ED3F9E">
        <w:rPr>
          <w:rFonts w:eastAsia="MS Mincho" w:cs="Arial"/>
          <w:b/>
          <w:bCs/>
          <w:sz w:val="20"/>
          <w:szCs w:val="20"/>
          <w:lang w:eastAsia="ja-JP"/>
        </w:rPr>
        <w:t>Declaración de Integridad y de ausencia de impedimentos para participar en la convocatoria.</w:t>
      </w:r>
    </w:p>
    <w:p w14:paraId="6D465D0E" w14:textId="0A04E685" w:rsidR="00941E85" w:rsidRDefault="001607FE" w:rsidP="001607FE">
      <w:pPr>
        <w:pStyle w:val="Sinespaciado"/>
        <w:ind w:left="330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1607FE">
        <w:rPr>
          <w:rFonts w:ascii="Arial" w:hAnsi="Arial" w:cs="Arial"/>
          <w:color w:val="808080" w:themeColor="background1" w:themeShade="80"/>
          <w:sz w:val="20"/>
          <w:szCs w:val="20"/>
        </w:rPr>
        <w:t>Documento mediante el cual la persona postulante declara, bajo gravedad de juramento, que cumple con los principios de integridad, transparencia y ética, y que no posee impedimentos legales, administrativos o contractuales para participar en la convocatori</w:t>
      </w:r>
      <w:r>
        <w:rPr>
          <w:rFonts w:ascii="Arial" w:hAnsi="Arial" w:cs="Arial"/>
          <w:color w:val="808080" w:themeColor="background1" w:themeShade="80"/>
          <w:sz w:val="20"/>
          <w:szCs w:val="20"/>
        </w:rPr>
        <w:t xml:space="preserve">a. </w:t>
      </w:r>
      <w:r w:rsidR="00ED3F9E" w:rsidRPr="00ED3F9E">
        <w:rPr>
          <w:rFonts w:ascii="Arial" w:hAnsi="Arial" w:cs="Arial"/>
          <w:color w:val="808080" w:themeColor="background1" w:themeShade="80"/>
          <w:sz w:val="20"/>
          <w:szCs w:val="20"/>
        </w:rPr>
        <w:t>Según formato para descargar con los documentos de la convocatoria</w:t>
      </w:r>
      <w:r w:rsidR="00ED3F9E">
        <w:rPr>
          <w:rFonts w:ascii="Arial" w:hAnsi="Arial" w:cs="Arial"/>
          <w:color w:val="808080" w:themeColor="background1" w:themeShade="80"/>
          <w:sz w:val="20"/>
          <w:szCs w:val="20"/>
        </w:rPr>
        <w:t>.</w:t>
      </w:r>
      <w:r w:rsidR="00D21DC6">
        <w:rPr>
          <w:rFonts w:ascii="Arial" w:hAnsi="Arial" w:cs="Arial"/>
          <w:color w:val="808080" w:themeColor="background1" w:themeShade="80"/>
          <w:sz w:val="20"/>
          <w:szCs w:val="20"/>
        </w:rPr>
        <w:t xml:space="preserve"> Debe estar llenado y firmado por: </w:t>
      </w:r>
    </w:p>
    <w:p w14:paraId="142FEFDC" w14:textId="4563B827" w:rsidR="00D21DC6" w:rsidRDefault="00D21DC6" w:rsidP="001607FE">
      <w:pPr>
        <w:pStyle w:val="Sinespaciado"/>
        <w:ind w:left="330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color w:val="808080" w:themeColor="background1" w:themeShade="80"/>
          <w:sz w:val="20"/>
          <w:szCs w:val="20"/>
        </w:rPr>
        <w:t xml:space="preserve">A. </w:t>
      </w:r>
      <w:r w:rsidRPr="00D21DC6">
        <w:rPr>
          <w:rFonts w:ascii="Arial" w:hAnsi="Arial" w:cs="Arial"/>
          <w:color w:val="808080" w:themeColor="background1" w:themeShade="80"/>
          <w:sz w:val="20"/>
          <w:szCs w:val="20"/>
        </w:rPr>
        <w:t xml:space="preserve">El representante legal de la </w:t>
      </w:r>
      <w:r>
        <w:rPr>
          <w:rFonts w:ascii="Arial" w:hAnsi="Arial" w:cs="Arial"/>
          <w:color w:val="808080" w:themeColor="background1" w:themeShade="80"/>
          <w:sz w:val="20"/>
          <w:szCs w:val="20"/>
        </w:rPr>
        <w:t>e</w:t>
      </w:r>
      <w:r w:rsidRPr="00D21DC6">
        <w:rPr>
          <w:rFonts w:ascii="Arial" w:hAnsi="Arial" w:cs="Arial"/>
          <w:color w:val="808080" w:themeColor="background1" w:themeShade="80"/>
          <w:sz w:val="20"/>
          <w:szCs w:val="20"/>
        </w:rPr>
        <w:t xml:space="preserve">ntidad </w:t>
      </w:r>
      <w:r>
        <w:rPr>
          <w:rFonts w:ascii="Arial" w:hAnsi="Arial" w:cs="Arial"/>
          <w:color w:val="808080" w:themeColor="background1" w:themeShade="80"/>
          <w:sz w:val="20"/>
          <w:szCs w:val="20"/>
        </w:rPr>
        <w:t>p</w:t>
      </w:r>
      <w:r w:rsidRPr="00D21DC6">
        <w:rPr>
          <w:rFonts w:ascii="Arial" w:hAnsi="Arial" w:cs="Arial"/>
          <w:color w:val="808080" w:themeColor="background1" w:themeShade="80"/>
          <w:sz w:val="20"/>
          <w:szCs w:val="20"/>
        </w:rPr>
        <w:t>roponente (que preside la Junta Directiva del Centro-AIP)</w:t>
      </w:r>
      <w:r>
        <w:rPr>
          <w:rFonts w:ascii="Arial" w:hAnsi="Arial" w:cs="Arial"/>
          <w:color w:val="808080" w:themeColor="background1" w:themeShade="80"/>
          <w:sz w:val="20"/>
          <w:szCs w:val="20"/>
        </w:rPr>
        <w:t>.</w:t>
      </w:r>
    </w:p>
    <w:p w14:paraId="738854C0" w14:textId="2DB57B3D" w:rsidR="00D21DC6" w:rsidRPr="00D21DC6" w:rsidRDefault="00D21DC6" w:rsidP="001607FE">
      <w:pPr>
        <w:pStyle w:val="Sinespaciado"/>
        <w:ind w:left="330"/>
        <w:rPr>
          <w:rFonts w:ascii="Arial" w:hAnsi="Arial" w:cs="Arial"/>
          <w:color w:val="808080" w:themeColor="background1" w:themeShade="80"/>
          <w:sz w:val="20"/>
          <w:szCs w:val="20"/>
          <w:lang w:val="es-ES_tradnl"/>
        </w:rPr>
      </w:pPr>
      <w:r>
        <w:rPr>
          <w:rFonts w:ascii="Arial" w:hAnsi="Arial" w:cs="Arial"/>
          <w:color w:val="808080" w:themeColor="background1" w:themeShade="80"/>
          <w:sz w:val="20"/>
          <w:szCs w:val="20"/>
        </w:rPr>
        <w:t xml:space="preserve">B. </w:t>
      </w:r>
      <w:r w:rsidRPr="00D21DC6">
        <w:rPr>
          <w:rFonts w:ascii="Arial" w:hAnsi="Arial" w:cs="Arial"/>
          <w:color w:val="808080" w:themeColor="background1" w:themeShade="80"/>
          <w:sz w:val="20"/>
          <w:szCs w:val="20"/>
        </w:rPr>
        <w:t>Director Interino</w:t>
      </w:r>
      <w:r>
        <w:rPr>
          <w:rFonts w:ascii="Arial" w:hAnsi="Arial" w:cs="Arial"/>
          <w:color w:val="808080" w:themeColor="background1" w:themeShade="80"/>
          <w:sz w:val="20"/>
          <w:szCs w:val="20"/>
        </w:rPr>
        <w:t>.</w:t>
      </w:r>
    </w:p>
    <w:p w14:paraId="65165EF5" w14:textId="57C604CB" w:rsidR="00D21DC6" w:rsidRPr="00ED3F9E" w:rsidRDefault="00D21DC6" w:rsidP="001607FE">
      <w:pPr>
        <w:pStyle w:val="Sinespaciado"/>
        <w:ind w:left="330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color w:val="808080" w:themeColor="background1" w:themeShade="80"/>
          <w:sz w:val="20"/>
          <w:szCs w:val="20"/>
        </w:rPr>
        <w:t>C</w:t>
      </w:r>
      <w:r w:rsidRPr="00D21DC6">
        <w:rPr>
          <w:rFonts w:ascii="Arial" w:hAnsi="Arial" w:cs="Arial"/>
          <w:color w:val="808080" w:themeColor="background1" w:themeShade="80"/>
          <w:sz w:val="20"/>
          <w:szCs w:val="20"/>
        </w:rPr>
        <w:t>. Gerente Administrativo</w:t>
      </w:r>
      <w:r>
        <w:rPr>
          <w:rFonts w:ascii="Arial" w:hAnsi="Arial" w:cs="Arial"/>
          <w:color w:val="808080" w:themeColor="background1" w:themeShade="80"/>
          <w:sz w:val="20"/>
          <w:szCs w:val="20"/>
        </w:rPr>
        <w:t>.</w:t>
      </w:r>
    </w:p>
    <w:p w14:paraId="3835DF16" w14:textId="05BC0E16" w:rsidR="00FC0F72" w:rsidRPr="00811839" w:rsidRDefault="00FC0F72" w:rsidP="00FC0F72">
      <w:pPr>
        <w:pStyle w:val="Cuadrculamedia1-nfasis21"/>
        <w:ind w:left="0"/>
        <w:jc w:val="both"/>
        <w:rPr>
          <w:rFonts w:ascii="Arial" w:eastAsia="MS Mincho" w:hAnsi="Arial" w:cs="Arial"/>
          <w:b/>
          <w:bCs/>
          <w:sz w:val="20"/>
          <w:szCs w:val="20"/>
          <w:lang w:eastAsia="ja-JP"/>
        </w:rPr>
      </w:pPr>
    </w:p>
    <w:p w14:paraId="534C368B" w14:textId="20BAD13F" w:rsidR="00811839" w:rsidRDefault="00811839" w:rsidP="00FC0F72">
      <w:pPr>
        <w:pStyle w:val="Cuadrculamedia1-nfasis21"/>
        <w:ind w:left="0"/>
        <w:jc w:val="both"/>
        <w:rPr>
          <w:rFonts w:ascii="Arial" w:eastAsia="MS Mincho" w:hAnsi="Arial" w:cs="Arial"/>
          <w:b/>
          <w:bCs/>
          <w:sz w:val="20"/>
          <w:szCs w:val="20"/>
          <w:lang w:eastAsia="ja-JP"/>
        </w:rPr>
      </w:pPr>
      <w:r w:rsidRPr="00811839">
        <w:rPr>
          <w:rFonts w:ascii="Arial" w:eastAsia="MS Mincho" w:hAnsi="Arial" w:cs="Arial"/>
          <w:b/>
          <w:bCs/>
          <w:sz w:val="20"/>
          <w:szCs w:val="20"/>
          <w:lang w:eastAsia="ja-JP"/>
        </w:rPr>
        <w:t xml:space="preserve">4. </w:t>
      </w:r>
      <w:r w:rsidRPr="00811839">
        <w:rPr>
          <w:rFonts w:ascii="Arial" w:eastAsia="MS Mincho" w:hAnsi="Arial" w:cs="Arial"/>
          <w:b/>
          <w:bCs/>
          <w:sz w:val="20"/>
          <w:szCs w:val="20"/>
          <w:lang w:eastAsia="ja-JP"/>
        </w:rPr>
        <w:t>Paz y Salvo de SENACYT.</w:t>
      </w:r>
    </w:p>
    <w:p w14:paraId="7127B4CD" w14:textId="25B543CF" w:rsidR="000E529D" w:rsidRPr="000E529D" w:rsidRDefault="00811839" w:rsidP="000E529D">
      <w:pPr>
        <w:pStyle w:val="Cuadrculamedia1-nfasis21"/>
        <w:ind w:left="330"/>
        <w:jc w:val="both"/>
        <w:rPr>
          <w:rFonts w:ascii="Arial" w:eastAsia="MS Mincho" w:hAnsi="Arial" w:cs="Arial"/>
          <w:color w:val="808080" w:themeColor="background1" w:themeShade="80"/>
          <w:sz w:val="20"/>
          <w:szCs w:val="20"/>
          <w:lang w:eastAsia="ja-JP"/>
        </w:rPr>
      </w:pPr>
      <w:r w:rsidRPr="00811839">
        <w:rPr>
          <w:rFonts w:ascii="Arial" w:eastAsia="MS Mincho" w:hAnsi="Arial" w:cs="Arial"/>
          <w:color w:val="808080" w:themeColor="background1" w:themeShade="80"/>
          <w:sz w:val="20"/>
          <w:szCs w:val="20"/>
          <w:lang w:eastAsia="ja-JP"/>
        </w:rPr>
        <w:t>Documento emitido por</w:t>
      </w:r>
      <w:r>
        <w:rPr>
          <w:rFonts w:ascii="Arial" w:eastAsia="MS Mincho" w:hAnsi="Arial" w:cs="Arial"/>
          <w:color w:val="808080" w:themeColor="background1" w:themeShade="80"/>
          <w:sz w:val="20"/>
          <w:szCs w:val="20"/>
          <w:lang w:eastAsia="ja-JP"/>
        </w:rPr>
        <w:t xml:space="preserve"> la </w:t>
      </w:r>
      <w:r w:rsidRPr="00811839">
        <w:rPr>
          <w:rFonts w:ascii="Arial" w:eastAsia="MS Mincho" w:hAnsi="Arial" w:cs="Arial"/>
          <w:color w:val="808080" w:themeColor="background1" w:themeShade="80"/>
          <w:sz w:val="20"/>
          <w:szCs w:val="20"/>
          <w:lang w:eastAsia="ja-JP"/>
        </w:rPr>
        <w:t>SENACYT que certifica que la entidad proponente no mantiene obligaciones pendientes con la institución, y que se encuentra en cumplimiento de los requisitos administrativos y financieros para participar en la convocatoria</w:t>
      </w:r>
      <w:r>
        <w:rPr>
          <w:rFonts w:ascii="Arial" w:eastAsia="MS Mincho" w:hAnsi="Arial" w:cs="Arial"/>
          <w:color w:val="808080" w:themeColor="background1" w:themeShade="80"/>
          <w:sz w:val="20"/>
          <w:szCs w:val="20"/>
          <w:lang w:eastAsia="ja-JP"/>
        </w:rPr>
        <w:t xml:space="preserve">. </w:t>
      </w:r>
      <w:r w:rsidR="000E529D">
        <w:rPr>
          <w:rFonts w:ascii="Arial" w:eastAsia="MS Mincho" w:hAnsi="Arial" w:cs="Arial"/>
          <w:color w:val="808080" w:themeColor="background1" w:themeShade="80"/>
          <w:sz w:val="20"/>
          <w:szCs w:val="20"/>
          <w:lang w:eastAsia="ja-JP"/>
        </w:rPr>
        <w:t>E</w:t>
      </w:r>
      <w:r w:rsidR="000E529D" w:rsidRPr="000E529D">
        <w:rPr>
          <w:rFonts w:ascii="Arial" w:eastAsia="MS Mincho" w:hAnsi="Arial" w:cs="Arial"/>
          <w:color w:val="808080" w:themeColor="background1" w:themeShade="80"/>
          <w:sz w:val="20"/>
          <w:szCs w:val="20"/>
          <w:lang w:eastAsia="ja-JP"/>
        </w:rPr>
        <w:t>sta</w:t>
      </w:r>
      <w:r w:rsidR="000E529D" w:rsidRPr="000E529D">
        <w:rPr>
          <w:rFonts w:ascii="Arial" w:eastAsia="MS Mincho" w:hAnsi="Arial" w:cs="Arial"/>
          <w:color w:val="808080" w:themeColor="background1" w:themeShade="80"/>
          <w:sz w:val="20"/>
          <w:szCs w:val="20"/>
          <w:lang w:eastAsia="ja-JP"/>
        </w:rPr>
        <w:t xml:space="preserve"> validación será aplicada a los siguientes miembros clave de la entidad proponente:</w:t>
      </w:r>
    </w:p>
    <w:p w14:paraId="1B501CFA" w14:textId="77777777" w:rsidR="000E529D" w:rsidRPr="000E529D" w:rsidRDefault="000E529D" w:rsidP="000E529D">
      <w:pPr>
        <w:pStyle w:val="Cuadrculamedia1-nfasis21"/>
        <w:ind w:left="330"/>
        <w:jc w:val="both"/>
        <w:rPr>
          <w:rFonts w:ascii="Arial" w:eastAsia="MS Mincho" w:hAnsi="Arial" w:cs="Arial"/>
          <w:color w:val="808080" w:themeColor="background1" w:themeShade="80"/>
          <w:sz w:val="20"/>
          <w:szCs w:val="20"/>
          <w:lang w:eastAsia="ja-JP"/>
        </w:rPr>
      </w:pPr>
    </w:p>
    <w:p w14:paraId="6B746A13" w14:textId="77777777" w:rsidR="000E529D" w:rsidRPr="000E529D" w:rsidRDefault="000E529D" w:rsidP="000E529D">
      <w:pPr>
        <w:pStyle w:val="Cuadrculamedia1-nfasis21"/>
        <w:ind w:left="330"/>
        <w:jc w:val="both"/>
        <w:rPr>
          <w:rFonts w:ascii="Arial" w:eastAsia="MS Mincho" w:hAnsi="Arial" w:cs="Arial"/>
          <w:color w:val="808080" w:themeColor="background1" w:themeShade="80"/>
          <w:sz w:val="20"/>
          <w:szCs w:val="20"/>
          <w:lang w:eastAsia="ja-JP"/>
        </w:rPr>
      </w:pPr>
      <w:r w:rsidRPr="000E529D">
        <w:rPr>
          <w:rFonts w:ascii="Arial" w:eastAsia="MS Mincho" w:hAnsi="Arial" w:cs="Arial"/>
          <w:color w:val="808080" w:themeColor="background1" w:themeShade="80"/>
          <w:sz w:val="20"/>
          <w:szCs w:val="20"/>
          <w:lang w:eastAsia="ja-JP"/>
        </w:rPr>
        <w:t>A. El representante legal de la entidad (quien preside la Junta Directiva del Centro-AIP).</w:t>
      </w:r>
    </w:p>
    <w:p w14:paraId="6C165123" w14:textId="77777777" w:rsidR="000E529D" w:rsidRPr="000E529D" w:rsidRDefault="000E529D" w:rsidP="000E529D">
      <w:pPr>
        <w:pStyle w:val="Cuadrculamedia1-nfasis21"/>
        <w:ind w:left="330"/>
        <w:jc w:val="both"/>
        <w:rPr>
          <w:rFonts w:ascii="Arial" w:eastAsia="MS Mincho" w:hAnsi="Arial" w:cs="Arial"/>
          <w:color w:val="808080" w:themeColor="background1" w:themeShade="80"/>
          <w:sz w:val="20"/>
          <w:szCs w:val="20"/>
          <w:lang w:eastAsia="ja-JP"/>
        </w:rPr>
      </w:pPr>
      <w:r w:rsidRPr="000E529D">
        <w:rPr>
          <w:rFonts w:ascii="Arial" w:eastAsia="MS Mincho" w:hAnsi="Arial" w:cs="Arial"/>
          <w:color w:val="808080" w:themeColor="background1" w:themeShade="80"/>
          <w:sz w:val="20"/>
          <w:szCs w:val="20"/>
          <w:lang w:eastAsia="ja-JP"/>
        </w:rPr>
        <w:t>B. El Director Interino.</w:t>
      </w:r>
    </w:p>
    <w:p w14:paraId="2F339DD5" w14:textId="77777777" w:rsidR="000E529D" w:rsidRPr="000E529D" w:rsidRDefault="000E529D" w:rsidP="000E529D">
      <w:pPr>
        <w:pStyle w:val="Cuadrculamedia1-nfasis21"/>
        <w:ind w:left="330"/>
        <w:jc w:val="both"/>
        <w:rPr>
          <w:rFonts w:ascii="Arial" w:eastAsia="MS Mincho" w:hAnsi="Arial" w:cs="Arial"/>
          <w:color w:val="808080" w:themeColor="background1" w:themeShade="80"/>
          <w:sz w:val="20"/>
          <w:szCs w:val="20"/>
          <w:lang w:eastAsia="ja-JP"/>
        </w:rPr>
      </w:pPr>
      <w:r w:rsidRPr="000E529D">
        <w:rPr>
          <w:rFonts w:ascii="Arial" w:eastAsia="MS Mincho" w:hAnsi="Arial" w:cs="Arial"/>
          <w:color w:val="808080" w:themeColor="background1" w:themeShade="80"/>
          <w:sz w:val="20"/>
          <w:szCs w:val="20"/>
          <w:lang w:eastAsia="ja-JP"/>
        </w:rPr>
        <w:t>C. El Gerente Administrativo.</w:t>
      </w:r>
    </w:p>
    <w:p w14:paraId="6A3AC06E" w14:textId="77777777" w:rsidR="000E529D" w:rsidRPr="000E529D" w:rsidRDefault="000E529D" w:rsidP="000E529D">
      <w:pPr>
        <w:pStyle w:val="Cuadrculamedia1-nfasis21"/>
        <w:ind w:left="330"/>
        <w:jc w:val="both"/>
        <w:rPr>
          <w:rFonts w:ascii="Arial" w:eastAsia="MS Mincho" w:hAnsi="Arial" w:cs="Arial"/>
          <w:color w:val="808080" w:themeColor="background1" w:themeShade="80"/>
          <w:sz w:val="20"/>
          <w:szCs w:val="20"/>
          <w:lang w:eastAsia="ja-JP"/>
        </w:rPr>
      </w:pPr>
    </w:p>
    <w:p w14:paraId="63DA2325" w14:textId="54C7A1F2" w:rsidR="00925E93" w:rsidRPr="00FC54E2" w:rsidRDefault="000E529D" w:rsidP="000E529D">
      <w:pPr>
        <w:pStyle w:val="Cuadrculamedia1-nfasis21"/>
        <w:ind w:left="330"/>
        <w:jc w:val="both"/>
        <w:rPr>
          <w:rFonts w:cs="Arial"/>
          <w:b/>
          <w:sz w:val="20"/>
          <w:szCs w:val="20"/>
        </w:rPr>
      </w:pPr>
      <w:r w:rsidRPr="000E529D">
        <w:rPr>
          <w:rFonts w:ascii="Arial" w:eastAsia="MS Mincho" w:hAnsi="Arial" w:cs="Arial"/>
          <w:color w:val="808080" w:themeColor="background1" w:themeShade="80"/>
          <w:sz w:val="20"/>
          <w:szCs w:val="20"/>
          <w:lang w:eastAsia="ja-JP"/>
        </w:rPr>
        <w:t xml:space="preserve">Los formularios de </w:t>
      </w:r>
      <w:r w:rsidR="00876B34">
        <w:rPr>
          <w:rFonts w:ascii="Arial" w:eastAsia="MS Mincho" w:hAnsi="Arial" w:cs="Arial"/>
          <w:color w:val="808080" w:themeColor="background1" w:themeShade="80"/>
          <w:sz w:val="20"/>
          <w:szCs w:val="20"/>
          <w:lang w:eastAsia="ja-JP"/>
        </w:rPr>
        <w:t>p</w:t>
      </w:r>
      <w:r w:rsidRPr="000E529D">
        <w:rPr>
          <w:rFonts w:ascii="Arial" w:eastAsia="MS Mincho" w:hAnsi="Arial" w:cs="Arial"/>
          <w:color w:val="808080" w:themeColor="background1" w:themeShade="80"/>
          <w:sz w:val="20"/>
          <w:szCs w:val="20"/>
          <w:lang w:eastAsia="ja-JP"/>
        </w:rPr>
        <w:t xml:space="preserve">az y </w:t>
      </w:r>
      <w:r w:rsidR="00876B34">
        <w:rPr>
          <w:rFonts w:ascii="Arial" w:eastAsia="MS Mincho" w:hAnsi="Arial" w:cs="Arial"/>
          <w:color w:val="808080" w:themeColor="background1" w:themeShade="80"/>
          <w:sz w:val="20"/>
          <w:szCs w:val="20"/>
          <w:lang w:eastAsia="ja-JP"/>
        </w:rPr>
        <w:t>s</w:t>
      </w:r>
      <w:r w:rsidRPr="000E529D">
        <w:rPr>
          <w:rFonts w:ascii="Arial" w:eastAsia="MS Mincho" w:hAnsi="Arial" w:cs="Arial"/>
          <w:color w:val="808080" w:themeColor="background1" w:themeShade="80"/>
          <w:sz w:val="20"/>
          <w:szCs w:val="20"/>
          <w:lang w:eastAsia="ja-JP"/>
        </w:rPr>
        <w:t xml:space="preserve">alvo serán verificados internamente por </w:t>
      </w:r>
      <w:r w:rsidR="00876B34">
        <w:rPr>
          <w:rFonts w:ascii="Arial" w:eastAsia="MS Mincho" w:hAnsi="Arial" w:cs="Arial"/>
          <w:color w:val="808080" w:themeColor="background1" w:themeShade="80"/>
          <w:sz w:val="20"/>
          <w:szCs w:val="20"/>
          <w:lang w:eastAsia="ja-JP"/>
        </w:rPr>
        <w:t xml:space="preserve">la </w:t>
      </w:r>
      <w:r w:rsidRPr="000E529D">
        <w:rPr>
          <w:rFonts w:ascii="Arial" w:eastAsia="MS Mincho" w:hAnsi="Arial" w:cs="Arial"/>
          <w:color w:val="808080" w:themeColor="background1" w:themeShade="80"/>
          <w:sz w:val="20"/>
          <w:szCs w:val="20"/>
          <w:lang w:eastAsia="ja-JP"/>
        </w:rPr>
        <w:t>SENACYT. En caso de que alguno de los tres documentos no cuente con la aprobación correspondiente por parte de las Direcciones competentes de la institución, la propuesta será descalificada y no podrá ser considerada para evaluación.</w:t>
      </w:r>
    </w:p>
    <w:p w14:paraId="42833E13" w14:textId="77777777" w:rsidR="00925E93" w:rsidRPr="00FC54E2" w:rsidRDefault="00925E93" w:rsidP="00925E93">
      <w:pPr>
        <w:rPr>
          <w:rFonts w:cs="Arial"/>
          <w:b/>
          <w:sz w:val="20"/>
          <w:szCs w:val="20"/>
        </w:rPr>
      </w:pPr>
    </w:p>
    <w:p w14:paraId="3FF12D81" w14:textId="77777777" w:rsidR="00925E93" w:rsidRPr="00FC54E2" w:rsidRDefault="00925E93" w:rsidP="00925E93">
      <w:pPr>
        <w:rPr>
          <w:rFonts w:cs="Arial"/>
          <w:b/>
          <w:sz w:val="20"/>
          <w:szCs w:val="20"/>
        </w:rPr>
      </w:pPr>
    </w:p>
    <w:p w14:paraId="226B7619" w14:textId="77777777" w:rsidR="00925E93" w:rsidRDefault="00925E93" w:rsidP="00925E93">
      <w:pPr>
        <w:rPr>
          <w:rFonts w:cs="Arial"/>
          <w:b/>
          <w:sz w:val="20"/>
          <w:szCs w:val="20"/>
        </w:rPr>
      </w:pPr>
    </w:p>
    <w:p w14:paraId="18903E50" w14:textId="77777777" w:rsidR="00925E93" w:rsidRPr="00925E93" w:rsidRDefault="00925E93" w:rsidP="00925E93">
      <w:pPr>
        <w:pStyle w:val="Sinespaciado"/>
        <w:ind w:left="360"/>
        <w:rPr>
          <w:rFonts w:ascii="Arial" w:hAnsi="Arial" w:cs="Arial"/>
          <w:sz w:val="20"/>
          <w:szCs w:val="20"/>
        </w:rPr>
      </w:pPr>
    </w:p>
    <w:sectPr w:rsidR="00925E93" w:rsidRPr="00925E93" w:rsidSect="00D406BD">
      <w:headerReference w:type="default" r:id="rId7"/>
      <w:footerReference w:type="default" r:id="rId8"/>
      <w:pgSz w:w="12240" w:h="20160" w:code="5"/>
      <w:pgMar w:top="1418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40AED" w14:textId="77777777" w:rsidR="00F17E63" w:rsidRDefault="00F17E63" w:rsidP="00513D11">
      <w:r>
        <w:separator/>
      </w:r>
    </w:p>
  </w:endnote>
  <w:endnote w:type="continuationSeparator" w:id="0">
    <w:p w14:paraId="3164BCDC" w14:textId="77777777" w:rsidR="00F17E63" w:rsidRDefault="00F17E63" w:rsidP="00513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BAD8F" w14:textId="2CA81487" w:rsidR="00FC0F72" w:rsidRPr="005C4E27" w:rsidRDefault="00FC0F72" w:rsidP="00FC0F72">
    <w:pPr>
      <w:pStyle w:val="Encabezado"/>
      <w:tabs>
        <w:tab w:val="left" w:pos="8364"/>
      </w:tabs>
      <w:jc w:val="both"/>
      <w:rPr>
        <w:rFonts w:asciiTheme="minorHAnsi" w:hAnsiTheme="minorHAnsi" w:cstheme="minorHAnsi"/>
        <w:sz w:val="16"/>
        <w:szCs w:val="16"/>
      </w:rPr>
    </w:pPr>
    <w:r w:rsidRPr="005C4E27">
      <w:rPr>
        <w:rFonts w:asciiTheme="minorHAnsi" w:hAnsiTheme="minorHAnsi" w:cstheme="minorHAnsi"/>
        <w:sz w:val="16"/>
        <w:szCs w:val="16"/>
      </w:rPr>
      <w:t>SENACYT.  Ciudad del Saber, Edificio 205.  Apartado 0816-02852, Panamá, Panamá.</w:t>
    </w:r>
    <w:r w:rsidRPr="005C4E27">
      <w:rPr>
        <w:rFonts w:asciiTheme="minorHAnsi" w:hAnsiTheme="minorHAnsi" w:cstheme="minorHAnsi"/>
        <w:sz w:val="16"/>
        <w:szCs w:val="16"/>
      </w:rPr>
      <w:tab/>
    </w:r>
    <w:r w:rsidRPr="005C4E27">
      <w:rPr>
        <w:rFonts w:asciiTheme="minorHAnsi" w:hAnsiTheme="minorHAnsi" w:cstheme="minorHAnsi"/>
        <w:sz w:val="16"/>
        <w:szCs w:val="16"/>
      </w:rPr>
      <w:tab/>
    </w:r>
    <w:r>
      <w:rPr>
        <w:rFonts w:asciiTheme="minorHAnsi" w:hAnsiTheme="minorHAnsi" w:cstheme="minorHAnsi"/>
        <w:sz w:val="16"/>
        <w:szCs w:val="16"/>
      </w:rPr>
      <w:t xml:space="preserve">              </w:t>
    </w:r>
    <w:r w:rsidRPr="005C4E27">
      <w:rPr>
        <w:rFonts w:asciiTheme="minorHAnsi" w:hAnsiTheme="minorHAnsi" w:cstheme="minorHAnsi"/>
        <w:sz w:val="16"/>
        <w:szCs w:val="16"/>
      </w:rPr>
      <w:t xml:space="preserve">Página </w:t>
    </w:r>
    <w:r w:rsidRPr="005C4E27">
      <w:rPr>
        <w:rStyle w:val="Nmerodepgina"/>
        <w:rFonts w:asciiTheme="minorHAnsi" w:hAnsiTheme="minorHAnsi" w:cstheme="minorHAnsi"/>
        <w:b/>
        <w:bCs/>
        <w:color w:val="2E74B5" w:themeColor="accent5" w:themeShade="BF"/>
        <w:sz w:val="16"/>
        <w:szCs w:val="16"/>
      </w:rPr>
      <w:fldChar w:fldCharType="begin"/>
    </w:r>
    <w:r w:rsidRPr="005C4E27">
      <w:rPr>
        <w:rStyle w:val="Nmerodepgina"/>
        <w:rFonts w:asciiTheme="minorHAnsi" w:hAnsiTheme="minorHAnsi" w:cstheme="minorHAnsi"/>
        <w:b/>
        <w:bCs/>
        <w:color w:val="2E74B5" w:themeColor="accent5" w:themeShade="BF"/>
        <w:sz w:val="16"/>
        <w:szCs w:val="16"/>
      </w:rPr>
      <w:instrText xml:space="preserve"> PAGE </w:instrText>
    </w:r>
    <w:r w:rsidRPr="005C4E27">
      <w:rPr>
        <w:rStyle w:val="Nmerodepgina"/>
        <w:rFonts w:asciiTheme="minorHAnsi" w:hAnsiTheme="minorHAnsi" w:cstheme="minorHAnsi"/>
        <w:b/>
        <w:bCs/>
        <w:color w:val="2E74B5" w:themeColor="accent5" w:themeShade="BF"/>
        <w:sz w:val="16"/>
        <w:szCs w:val="16"/>
      </w:rPr>
      <w:fldChar w:fldCharType="separate"/>
    </w:r>
    <w:r>
      <w:rPr>
        <w:rStyle w:val="Nmerodepgina"/>
        <w:rFonts w:asciiTheme="minorHAnsi" w:hAnsiTheme="minorHAnsi" w:cstheme="minorHAnsi"/>
        <w:b/>
        <w:bCs/>
        <w:color w:val="2E74B5" w:themeColor="accent5" w:themeShade="BF"/>
        <w:sz w:val="16"/>
        <w:szCs w:val="16"/>
      </w:rPr>
      <w:t>1</w:t>
    </w:r>
    <w:r w:rsidRPr="005C4E27">
      <w:rPr>
        <w:rStyle w:val="Nmerodepgina"/>
        <w:rFonts w:asciiTheme="minorHAnsi" w:hAnsiTheme="minorHAnsi" w:cstheme="minorHAnsi"/>
        <w:b/>
        <w:bCs/>
        <w:color w:val="2E74B5" w:themeColor="accent5" w:themeShade="BF"/>
        <w:sz w:val="16"/>
        <w:szCs w:val="16"/>
      </w:rPr>
      <w:fldChar w:fldCharType="end"/>
    </w:r>
    <w:r w:rsidRPr="005C4E27">
      <w:rPr>
        <w:rStyle w:val="Nmerodepgina"/>
        <w:rFonts w:asciiTheme="minorHAnsi" w:hAnsiTheme="minorHAnsi" w:cstheme="minorHAnsi"/>
        <w:sz w:val="16"/>
        <w:szCs w:val="16"/>
      </w:rPr>
      <w:t xml:space="preserve"> de </w:t>
    </w:r>
    <w:r w:rsidRPr="005C4E27">
      <w:rPr>
        <w:rStyle w:val="Nmerodepgina"/>
        <w:rFonts w:asciiTheme="minorHAnsi" w:hAnsiTheme="minorHAnsi" w:cstheme="minorHAnsi"/>
        <w:b/>
        <w:bCs/>
        <w:color w:val="2E74B5" w:themeColor="accent5" w:themeShade="BF"/>
        <w:sz w:val="16"/>
        <w:szCs w:val="16"/>
      </w:rPr>
      <w:fldChar w:fldCharType="begin"/>
    </w:r>
    <w:r w:rsidRPr="005C4E27">
      <w:rPr>
        <w:rStyle w:val="Nmerodepgina"/>
        <w:rFonts w:asciiTheme="minorHAnsi" w:hAnsiTheme="minorHAnsi" w:cstheme="minorHAnsi"/>
        <w:b/>
        <w:bCs/>
        <w:color w:val="2E74B5" w:themeColor="accent5" w:themeShade="BF"/>
        <w:sz w:val="16"/>
        <w:szCs w:val="16"/>
      </w:rPr>
      <w:instrText xml:space="preserve"> NUMPAGES </w:instrText>
    </w:r>
    <w:r w:rsidRPr="005C4E27">
      <w:rPr>
        <w:rStyle w:val="Nmerodepgina"/>
        <w:rFonts w:asciiTheme="minorHAnsi" w:hAnsiTheme="minorHAnsi" w:cstheme="minorHAnsi"/>
        <w:b/>
        <w:bCs/>
        <w:color w:val="2E74B5" w:themeColor="accent5" w:themeShade="BF"/>
        <w:sz w:val="16"/>
        <w:szCs w:val="16"/>
      </w:rPr>
      <w:fldChar w:fldCharType="separate"/>
    </w:r>
    <w:r>
      <w:rPr>
        <w:rStyle w:val="Nmerodepgina"/>
        <w:rFonts w:asciiTheme="minorHAnsi" w:hAnsiTheme="minorHAnsi" w:cstheme="minorHAnsi"/>
        <w:b/>
        <w:bCs/>
        <w:color w:val="2E74B5" w:themeColor="accent5" w:themeShade="BF"/>
        <w:sz w:val="16"/>
        <w:szCs w:val="16"/>
      </w:rPr>
      <w:t>3</w:t>
    </w:r>
    <w:r w:rsidRPr="005C4E27">
      <w:rPr>
        <w:rStyle w:val="Nmerodepgina"/>
        <w:rFonts w:asciiTheme="minorHAnsi" w:hAnsiTheme="minorHAnsi" w:cstheme="minorHAnsi"/>
        <w:b/>
        <w:bCs/>
        <w:color w:val="2E74B5" w:themeColor="accent5" w:themeShade="BF"/>
        <w:sz w:val="16"/>
        <w:szCs w:val="16"/>
      </w:rPr>
      <w:fldChar w:fldCharType="end"/>
    </w:r>
  </w:p>
  <w:p w14:paraId="27EEC191" w14:textId="1B571246" w:rsidR="00E41186" w:rsidRPr="00941E85" w:rsidRDefault="00FC0F72" w:rsidP="00FC0F72">
    <w:pPr>
      <w:pStyle w:val="Encabezado"/>
      <w:jc w:val="both"/>
      <w:rPr>
        <w:rFonts w:asciiTheme="minorHAnsi" w:hAnsiTheme="minorHAnsi" w:cstheme="minorHAnsi"/>
        <w:sz w:val="16"/>
        <w:szCs w:val="16"/>
        <w:lang w:val="it-IT"/>
      </w:rPr>
    </w:pPr>
    <w:r w:rsidRPr="005C4E27">
      <w:rPr>
        <w:rFonts w:asciiTheme="minorHAnsi" w:hAnsiTheme="minorHAnsi" w:cstheme="minorHAnsi"/>
        <w:sz w:val="16"/>
        <w:szCs w:val="16"/>
        <w:lang w:val="pt-BR"/>
      </w:rPr>
      <w:t xml:space="preserve">Tel. 517-0098 o 517-0031, e-mail: </w:t>
    </w:r>
    <w:hyperlink r:id="rId1" w:history="1">
      <w:r w:rsidRPr="00941E85">
        <w:rPr>
          <w:rStyle w:val="Hipervnculo"/>
          <w:rFonts w:asciiTheme="minorHAnsi" w:hAnsiTheme="minorHAnsi" w:cstheme="minorHAnsi"/>
          <w:b/>
          <w:sz w:val="16"/>
          <w:szCs w:val="16"/>
          <w:lang w:val="it-IT"/>
        </w:rPr>
        <w:t>centrosregionales@senacyt.gob.pa</w:t>
      </w:r>
    </w:hyperlink>
    <w:r w:rsidRPr="00941E85">
      <w:rPr>
        <w:rFonts w:asciiTheme="minorHAnsi" w:hAnsiTheme="minorHAnsi" w:cstheme="minorHAnsi"/>
        <w:b/>
        <w:sz w:val="16"/>
        <w:szCs w:val="16"/>
        <w:u w:val="single"/>
        <w:lang w:val="it-IT"/>
      </w:rPr>
      <w:t xml:space="preserve"> </w:t>
    </w:r>
    <w:r w:rsidRPr="005C4E27">
      <w:rPr>
        <w:rFonts w:asciiTheme="minorHAnsi" w:hAnsiTheme="minorHAnsi" w:cstheme="minorHAnsi"/>
        <w:sz w:val="16"/>
        <w:szCs w:val="16"/>
        <w:lang w:val="pt-BR"/>
      </w:rPr>
      <w:t xml:space="preserve">, URL: </w:t>
    </w:r>
    <w:hyperlink r:id="rId2" w:history="1">
      <w:r w:rsidRPr="005C4E27">
        <w:rPr>
          <w:rStyle w:val="Hipervnculo"/>
          <w:rFonts w:asciiTheme="minorHAnsi" w:hAnsiTheme="minorHAnsi" w:cstheme="minorHAnsi"/>
          <w:sz w:val="16"/>
          <w:szCs w:val="16"/>
          <w:lang w:val="pt-BR"/>
        </w:rPr>
        <w:t>www.senacyt.gob.pa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7F143" w14:textId="77777777" w:rsidR="00F17E63" w:rsidRDefault="00F17E63" w:rsidP="00513D11">
      <w:r>
        <w:separator/>
      </w:r>
    </w:p>
  </w:footnote>
  <w:footnote w:type="continuationSeparator" w:id="0">
    <w:p w14:paraId="2AFC5ADA" w14:textId="77777777" w:rsidR="00F17E63" w:rsidRDefault="00F17E63" w:rsidP="00513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9A9D7" w14:textId="77777777" w:rsidR="007F7820" w:rsidRDefault="007F7820" w:rsidP="007F7820">
    <w:pPr>
      <w:pStyle w:val="Encabezado"/>
      <w:ind w:right="-142"/>
      <w:rPr>
        <w:b/>
        <w:sz w:val="16"/>
        <w:szCs w:val="16"/>
      </w:rPr>
    </w:pPr>
    <w:r>
      <w:rPr>
        <w:b/>
        <w:noProof/>
        <w:sz w:val="16"/>
        <w:szCs w:val="16"/>
      </w:rPr>
      <w:t>CEREG</w:t>
    </w:r>
    <w:r w:rsidRPr="00686B83">
      <w:rPr>
        <w:b/>
        <w:sz w:val="16"/>
        <w:szCs w:val="16"/>
      </w:rPr>
      <w:t>-</w:t>
    </w:r>
    <w:r w:rsidRPr="00CB1284">
      <w:rPr>
        <w:b/>
        <w:sz w:val="16"/>
        <w:szCs w:val="16"/>
      </w:rPr>
      <w:t>P-v0.</w:t>
    </w:r>
    <w:r>
      <w:rPr>
        <w:b/>
        <w:sz w:val="16"/>
        <w:szCs w:val="16"/>
      </w:rPr>
      <w:t>1</w:t>
    </w:r>
    <w:r w:rsidRPr="00CB1284">
      <w:rPr>
        <w:b/>
        <w:sz w:val="16"/>
        <w:szCs w:val="16"/>
      </w:rPr>
      <w:t>-</w:t>
    </w:r>
    <w:r>
      <w:rPr>
        <w:b/>
        <w:sz w:val="16"/>
        <w:szCs w:val="16"/>
      </w:rPr>
      <w:t>250729</w:t>
    </w:r>
  </w:p>
  <w:p w14:paraId="44D0FDA4" w14:textId="4A317D62" w:rsidR="00C82666" w:rsidRDefault="007F7820" w:rsidP="00C82666">
    <w:pPr>
      <w:pStyle w:val="Encabezado"/>
      <w:ind w:right="-142"/>
      <w:rPr>
        <w:noProof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0F1EF1C" wp14:editId="2BF342E9">
          <wp:simplePos x="0" y="0"/>
          <wp:positionH relativeFrom="column">
            <wp:posOffset>5161280</wp:posOffset>
          </wp:positionH>
          <wp:positionV relativeFrom="paragraph">
            <wp:posOffset>50800</wp:posOffset>
          </wp:positionV>
          <wp:extent cx="987425" cy="539750"/>
          <wp:effectExtent l="0" t="0" r="0" b="0"/>
          <wp:wrapTight wrapText="bothSides">
            <wp:wrapPolygon edited="0">
              <wp:start x="4584" y="1525"/>
              <wp:lineTo x="833" y="4574"/>
              <wp:lineTo x="1250" y="13722"/>
              <wp:lineTo x="7918" y="15247"/>
              <wp:lineTo x="7918" y="18296"/>
              <wp:lineTo x="15835" y="18296"/>
              <wp:lineTo x="15835" y="15247"/>
              <wp:lineTo x="20003" y="15247"/>
              <wp:lineTo x="18336" y="4574"/>
              <wp:lineTo x="7501" y="1525"/>
              <wp:lineTo x="4584" y="1525"/>
            </wp:wrapPolygon>
          </wp:wrapTight>
          <wp:docPr id="8" name="Imagen 8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742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755E0B5C" wp14:editId="63A6FDF3">
          <wp:simplePos x="0" y="0"/>
          <wp:positionH relativeFrom="margin">
            <wp:posOffset>771525</wp:posOffset>
          </wp:positionH>
          <wp:positionV relativeFrom="paragraph">
            <wp:posOffset>18415</wp:posOffset>
          </wp:positionV>
          <wp:extent cx="3990975" cy="559435"/>
          <wp:effectExtent l="0" t="0" r="0" b="0"/>
          <wp:wrapNone/>
          <wp:docPr id="2040235121" name="Imagen 1" descr="Imagen que contiene medidor, reloj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235121" name="Imagen 1" descr="Imagen que contiene medidor, reloj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0975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9F560C" w14:textId="77777777" w:rsidR="00C82666" w:rsidRDefault="00C82666" w:rsidP="00C82666">
    <w:pPr>
      <w:pStyle w:val="Encabezado"/>
      <w:ind w:right="-142"/>
      <w:rPr>
        <w:noProof/>
      </w:rPr>
    </w:pPr>
  </w:p>
  <w:p w14:paraId="1BB4D032" w14:textId="77777777" w:rsidR="00C82666" w:rsidRDefault="00C82666" w:rsidP="00C82666">
    <w:pPr>
      <w:pStyle w:val="Encabezado"/>
      <w:ind w:right="-142"/>
      <w:rPr>
        <w:noProof/>
      </w:rPr>
    </w:pPr>
  </w:p>
  <w:p w14:paraId="02A3CCBC" w14:textId="77777777" w:rsidR="00C82666" w:rsidRDefault="00C82666" w:rsidP="00C82666">
    <w:pPr>
      <w:pStyle w:val="Encabezado"/>
    </w:pPr>
  </w:p>
  <w:p w14:paraId="29263BC2" w14:textId="77777777" w:rsidR="00513D11" w:rsidRPr="00C82666" w:rsidRDefault="00513D11" w:rsidP="00C8266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F0466"/>
    <w:multiLevelType w:val="hybridMultilevel"/>
    <w:tmpl w:val="BA886D16"/>
    <w:lvl w:ilvl="0" w:tplc="1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BB67DD6"/>
    <w:multiLevelType w:val="hybridMultilevel"/>
    <w:tmpl w:val="7D802682"/>
    <w:lvl w:ilvl="0" w:tplc="525CE7E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2880" w:hanging="360"/>
      </w:pPr>
    </w:lvl>
    <w:lvl w:ilvl="2" w:tplc="180A001B" w:tentative="1">
      <w:start w:val="1"/>
      <w:numFmt w:val="lowerRoman"/>
      <w:lvlText w:val="%3."/>
      <w:lvlJc w:val="right"/>
      <w:pPr>
        <w:ind w:left="3600" w:hanging="180"/>
      </w:pPr>
    </w:lvl>
    <w:lvl w:ilvl="3" w:tplc="180A000F" w:tentative="1">
      <w:start w:val="1"/>
      <w:numFmt w:val="decimal"/>
      <w:lvlText w:val="%4."/>
      <w:lvlJc w:val="left"/>
      <w:pPr>
        <w:ind w:left="4320" w:hanging="360"/>
      </w:pPr>
    </w:lvl>
    <w:lvl w:ilvl="4" w:tplc="180A0019" w:tentative="1">
      <w:start w:val="1"/>
      <w:numFmt w:val="lowerLetter"/>
      <w:lvlText w:val="%5."/>
      <w:lvlJc w:val="left"/>
      <w:pPr>
        <w:ind w:left="5040" w:hanging="360"/>
      </w:pPr>
    </w:lvl>
    <w:lvl w:ilvl="5" w:tplc="180A001B" w:tentative="1">
      <w:start w:val="1"/>
      <w:numFmt w:val="lowerRoman"/>
      <w:lvlText w:val="%6."/>
      <w:lvlJc w:val="right"/>
      <w:pPr>
        <w:ind w:left="5760" w:hanging="180"/>
      </w:pPr>
    </w:lvl>
    <w:lvl w:ilvl="6" w:tplc="180A000F" w:tentative="1">
      <w:start w:val="1"/>
      <w:numFmt w:val="decimal"/>
      <w:lvlText w:val="%7."/>
      <w:lvlJc w:val="left"/>
      <w:pPr>
        <w:ind w:left="6480" w:hanging="360"/>
      </w:pPr>
    </w:lvl>
    <w:lvl w:ilvl="7" w:tplc="180A0019" w:tentative="1">
      <w:start w:val="1"/>
      <w:numFmt w:val="lowerLetter"/>
      <w:lvlText w:val="%8."/>
      <w:lvlJc w:val="left"/>
      <w:pPr>
        <w:ind w:left="7200" w:hanging="360"/>
      </w:pPr>
    </w:lvl>
    <w:lvl w:ilvl="8" w:tplc="1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445E00D7"/>
    <w:multiLevelType w:val="hybridMultilevel"/>
    <w:tmpl w:val="BFCED97A"/>
    <w:lvl w:ilvl="0" w:tplc="180A000F">
      <w:start w:val="1"/>
      <w:numFmt w:val="decimal"/>
      <w:lvlText w:val="%1."/>
      <w:lvlJc w:val="left"/>
      <w:pPr>
        <w:ind w:left="1080" w:hanging="360"/>
      </w:pPr>
    </w:lvl>
    <w:lvl w:ilvl="1" w:tplc="180A0019" w:tentative="1">
      <w:start w:val="1"/>
      <w:numFmt w:val="lowerLetter"/>
      <w:lvlText w:val="%2."/>
      <w:lvlJc w:val="left"/>
      <w:pPr>
        <w:ind w:left="1800" w:hanging="360"/>
      </w:pPr>
    </w:lvl>
    <w:lvl w:ilvl="2" w:tplc="180A001B" w:tentative="1">
      <w:start w:val="1"/>
      <w:numFmt w:val="lowerRoman"/>
      <w:lvlText w:val="%3."/>
      <w:lvlJc w:val="right"/>
      <w:pPr>
        <w:ind w:left="2520" w:hanging="180"/>
      </w:pPr>
    </w:lvl>
    <w:lvl w:ilvl="3" w:tplc="180A000F" w:tentative="1">
      <w:start w:val="1"/>
      <w:numFmt w:val="decimal"/>
      <w:lvlText w:val="%4."/>
      <w:lvlJc w:val="left"/>
      <w:pPr>
        <w:ind w:left="3240" w:hanging="360"/>
      </w:pPr>
    </w:lvl>
    <w:lvl w:ilvl="4" w:tplc="180A0019" w:tentative="1">
      <w:start w:val="1"/>
      <w:numFmt w:val="lowerLetter"/>
      <w:lvlText w:val="%5."/>
      <w:lvlJc w:val="left"/>
      <w:pPr>
        <w:ind w:left="3960" w:hanging="360"/>
      </w:pPr>
    </w:lvl>
    <w:lvl w:ilvl="5" w:tplc="180A001B" w:tentative="1">
      <w:start w:val="1"/>
      <w:numFmt w:val="lowerRoman"/>
      <w:lvlText w:val="%6."/>
      <w:lvlJc w:val="right"/>
      <w:pPr>
        <w:ind w:left="4680" w:hanging="180"/>
      </w:pPr>
    </w:lvl>
    <w:lvl w:ilvl="6" w:tplc="180A000F" w:tentative="1">
      <w:start w:val="1"/>
      <w:numFmt w:val="decimal"/>
      <w:lvlText w:val="%7."/>
      <w:lvlJc w:val="left"/>
      <w:pPr>
        <w:ind w:left="5400" w:hanging="360"/>
      </w:pPr>
    </w:lvl>
    <w:lvl w:ilvl="7" w:tplc="180A0019" w:tentative="1">
      <w:start w:val="1"/>
      <w:numFmt w:val="lowerLetter"/>
      <w:lvlText w:val="%8."/>
      <w:lvlJc w:val="left"/>
      <w:pPr>
        <w:ind w:left="6120" w:hanging="360"/>
      </w:pPr>
    </w:lvl>
    <w:lvl w:ilvl="8" w:tplc="1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6F3A57"/>
    <w:multiLevelType w:val="hybridMultilevel"/>
    <w:tmpl w:val="D1DCA458"/>
    <w:lvl w:ilvl="0" w:tplc="1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613E5AAB"/>
    <w:multiLevelType w:val="hybridMultilevel"/>
    <w:tmpl w:val="32623F46"/>
    <w:lvl w:ilvl="0" w:tplc="0296A0B8">
      <w:start w:val="1"/>
      <w:numFmt w:val="decimal"/>
      <w:lvlText w:val="%1."/>
      <w:lvlJc w:val="left"/>
      <w:pPr>
        <w:ind w:left="1068" w:hanging="360"/>
      </w:pPr>
      <w:rPr>
        <w:rFonts w:hint="default"/>
        <w:strike w:val="0"/>
        <w:color w:val="auto"/>
      </w:rPr>
    </w:lvl>
    <w:lvl w:ilvl="1" w:tplc="180A0019" w:tentative="1">
      <w:start w:val="1"/>
      <w:numFmt w:val="lowerLetter"/>
      <w:lvlText w:val="%2."/>
      <w:lvlJc w:val="left"/>
      <w:pPr>
        <w:ind w:left="2148" w:hanging="360"/>
      </w:pPr>
    </w:lvl>
    <w:lvl w:ilvl="2" w:tplc="180A001B" w:tentative="1">
      <w:start w:val="1"/>
      <w:numFmt w:val="lowerRoman"/>
      <w:lvlText w:val="%3."/>
      <w:lvlJc w:val="right"/>
      <w:pPr>
        <w:ind w:left="2868" w:hanging="180"/>
      </w:pPr>
    </w:lvl>
    <w:lvl w:ilvl="3" w:tplc="180A000F" w:tentative="1">
      <w:start w:val="1"/>
      <w:numFmt w:val="decimal"/>
      <w:lvlText w:val="%4."/>
      <w:lvlJc w:val="left"/>
      <w:pPr>
        <w:ind w:left="3588" w:hanging="360"/>
      </w:pPr>
    </w:lvl>
    <w:lvl w:ilvl="4" w:tplc="180A0019" w:tentative="1">
      <w:start w:val="1"/>
      <w:numFmt w:val="lowerLetter"/>
      <w:lvlText w:val="%5."/>
      <w:lvlJc w:val="left"/>
      <w:pPr>
        <w:ind w:left="4308" w:hanging="360"/>
      </w:pPr>
    </w:lvl>
    <w:lvl w:ilvl="5" w:tplc="180A001B" w:tentative="1">
      <w:start w:val="1"/>
      <w:numFmt w:val="lowerRoman"/>
      <w:lvlText w:val="%6."/>
      <w:lvlJc w:val="right"/>
      <w:pPr>
        <w:ind w:left="5028" w:hanging="180"/>
      </w:pPr>
    </w:lvl>
    <w:lvl w:ilvl="6" w:tplc="180A000F" w:tentative="1">
      <w:start w:val="1"/>
      <w:numFmt w:val="decimal"/>
      <w:lvlText w:val="%7."/>
      <w:lvlJc w:val="left"/>
      <w:pPr>
        <w:ind w:left="5748" w:hanging="360"/>
      </w:pPr>
    </w:lvl>
    <w:lvl w:ilvl="7" w:tplc="180A0019" w:tentative="1">
      <w:start w:val="1"/>
      <w:numFmt w:val="lowerLetter"/>
      <w:lvlText w:val="%8."/>
      <w:lvlJc w:val="left"/>
      <w:pPr>
        <w:ind w:left="6468" w:hanging="360"/>
      </w:pPr>
    </w:lvl>
    <w:lvl w:ilvl="8" w:tplc="1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61BE6FF7"/>
    <w:multiLevelType w:val="hybridMultilevel"/>
    <w:tmpl w:val="9CDACF68"/>
    <w:lvl w:ilvl="0" w:tplc="40F43E84">
      <w:start w:val="1"/>
      <w:numFmt w:val="decimal"/>
      <w:lvlText w:val="%1."/>
      <w:lvlJc w:val="left"/>
      <w:pPr>
        <w:ind w:left="1068" w:hanging="360"/>
      </w:pPr>
      <w:rPr>
        <w:rFonts w:hint="default"/>
        <w:strike w:val="0"/>
        <w:color w:val="auto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9CCEB44">
      <w:numFmt w:val="bullet"/>
      <w:lvlText w:val="•"/>
      <w:lvlJc w:val="left"/>
      <w:pPr>
        <w:ind w:left="3288" w:hanging="420"/>
      </w:pPr>
      <w:rPr>
        <w:rFonts w:ascii="Arial" w:eastAsia="Times New Roman" w:hAnsi="Arial" w:cs="Aria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343568F"/>
    <w:multiLevelType w:val="hybridMultilevel"/>
    <w:tmpl w:val="127C9274"/>
    <w:lvl w:ilvl="0" w:tplc="0296A0B8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180A000F">
      <w:start w:val="1"/>
      <w:numFmt w:val="decimal"/>
      <w:lvlText w:val="%2."/>
      <w:lvlJc w:val="left"/>
      <w:pPr>
        <w:ind w:left="732" w:hanging="360"/>
      </w:pPr>
      <w:rPr>
        <w:rFonts w:hint="default"/>
      </w:rPr>
    </w:lvl>
    <w:lvl w:ilvl="2" w:tplc="180A001B" w:tentative="1">
      <w:start w:val="1"/>
      <w:numFmt w:val="lowerRoman"/>
      <w:lvlText w:val="%3."/>
      <w:lvlJc w:val="right"/>
      <w:pPr>
        <w:ind w:left="1452" w:hanging="180"/>
      </w:pPr>
    </w:lvl>
    <w:lvl w:ilvl="3" w:tplc="180A000F" w:tentative="1">
      <w:start w:val="1"/>
      <w:numFmt w:val="decimal"/>
      <w:lvlText w:val="%4."/>
      <w:lvlJc w:val="left"/>
      <w:pPr>
        <w:ind w:left="2172" w:hanging="360"/>
      </w:pPr>
    </w:lvl>
    <w:lvl w:ilvl="4" w:tplc="180A0019" w:tentative="1">
      <w:start w:val="1"/>
      <w:numFmt w:val="lowerLetter"/>
      <w:lvlText w:val="%5."/>
      <w:lvlJc w:val="left"/>
      <w:pPr>
        <w:ind w:left="2892" w:hanging="360"/>
      </w:pPr>
    </w:lvl>
    <w:lvl w:ilvl="5" w:tplc="180A001B" w:tentative="1">
      <w:start w:val="1"/>
      <w:numFmt w:val="lowerRoman"/>
      <w:lvlText w:val="%6."/>
      <w:lvlJc w:val="right"/>
      <w:pPr>
        <w:ind w:left="3612" w:hanging="180"/>
      </w:pPr>
    </w:lvl>
    <w:lvl w:ilvl="6" w:tplc="180A000F" w:tentative="1">
      <w:start w:val="1"/>
      <w:numFmt w:val="decimal"/>
      <w:lvlText w:val="%7."/>
      <w:lvlJc w:val="left"/>
      <w:pPr>
        <w:ind w:left="4332" w:hanging="360"/>
      </w:pPr>
    </w:lvl>
    <w:lvl w:ilvl="7" w:tplc="180A0019" w:tentative="1">
      <w:start w:val="1"/>
      <w:numFmt w:val="lowerLetter"/>
      <w:lvlText w:val="%8."/>
      <w:lvlJc w:val="left"/>
      <w:pPr>
        <w:ind w:left="5052" w:hanging="360"/>
      </w:pPr>
    </w:lvl>
    <w:lvl w:ilvl="8" w:tplc="180A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7" w15:restartNumberingAfterBreak="0">
    <w:nsid w:val="693B52E4"/>
    <w:multiLevelType w:val="hybridMultilevel"/>
    <w:tmpl w:val="8EB4F9A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888424">
    <w:abstractNumId w:val="7"/>
  </w:num>
  <w:num w:numId="2" w16cid:durableId="1690446002">
    <w:abstractNumId w:val="5"/>
  </w:num>
  <w:num w:numId="3" w16cid:durableId="197200720">
    <w:abstractNumId w:val="3"/>
  </w:num>
  <w:num w:numId="4" w16cid:durableId="2020698952">
    <w:abstractNumId w:val="0"/>
  </w:num>
  <w:num w:numId="5" w16cid:durableId="1620379186">
    <w:abstractNumId w:val="6"/>
  </w:num>
  <w:num w:numId="6" w16cid:durableId="1661731127">
    <w:abstractNumId w:val="2"/>
  </w:num>
  <w:num w:numId="7" w16cid:durableId="144857514">
    <w:abstractNumId w:val="1"/>
  </w:num>
  <w:num w:numId="8" w16cid:durableId="15456015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D11"/>
    <w:rsid w:val="000E529D"/>
    <w:rsid w:val="001607FE"/>
    <w:rsid w:val="00196819"/>
    <w:rsid w:val="001B69B9"/>
    <w:rsid w:val="001E1A29"/>
    <w:rsid w:val="002A33C1"/>
    <w:rsid w:val="003A6487"/>
    <w:rsid w:val="00472025"/>
    <w:rsid w:val="00513D11"/>
    <w:rsid w:val="006C2FC7"/>
    <w:rsid w:val="006F68FB"/>
    <w:rsid w:val="007322C0"/>
    <w:rsid w:val="007D309C"/>
    <w:rsid w:val="007D3EAC"/>
    <w:rsid w:val="007F7820"/>
    <w:rsid w:val="00811839"/>
    <w:rsid w:val="00851C76"/>
    <w:rsid w:val="00876B34"/>
    <w:rsid w:val="00925E93"/>
    <w:rsid w:val="00941E85"/>
    <w:rsid w:val="009B54DB"/>
    <w:rsid w:val="00A619AD"/>
    <w:rsid w:val="00AE088E"/>
    <w:rsid w:val="00C82666"/>
    <w:rsid w:val="00D03A34"/>
    <w:rsid w:val="00D21DC6"/>
    <w:rsid w:val="00D406BD"/>
    <w:rsid w:val="00D56E4B"/>
    <w:rsid w:val="00E41186"/>
    <w:rsid w:val="00E660BA"/>
    <w:rsid w:val="00ED3F9E"/>
    <w:rsid w:val="00EF2EB1"/>
    <w:rsid w:val="00EF4214"/>
    <w:rsid w:val="00F17E63"/>
    <w:rsid w:val="00FC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79EFB38"/>
  <w15:chartTrackingRefBased/>
  <w15:docId w15:val="{AA210763-6363-41C4-A635-4E61EFBAE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D11"/>
    <w:pPr>
      <w:spacing w:after="0" w:line="240" w:lineRule="auto"/>
    </w:pPr>
    <w:rPr>
      <w:rFonts w:ascii="Arial" w:eastAsia="Times New Roman" w:hAnsi="Arial" w:cs="Times New Roman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513D11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513D11"/>
    <w:rPr>
      <w:rFonts w:ascii="Arial" w:eastAsia="Times New Roman" w:hAnsi="Arial" w:cs="Times New Roman"/>
      <w:lang w:val="es-ES" w:eastAsia="es-ES"/>
    </w:rPr>
  </w:style>
  <w:style w:type="paragraph" w:styleId="Encabezado">
    <w:name w:val="header"/>
    <w:basedOn w:val="Normal"/>
    <w:link w:val="EncabezadoCar"/>
    <w:unhideWhenUsed/>
    <w:rsid w:val="00513D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513D11"/>
    <w:rPr>
      <w:rFonts w:ascii="Arial" w:eastAsia="Times New Roman" w:hAnsi="Arial" w:cs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13D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3D11"/>
    <w:rPr>
      <w:rFonts w:ascii="Arial" w:eastAsia="Times New Roman" w:hAnsi="Arial" w:cs="Times New Roman"/>
      <w:lang w:val="es-ES" w:eastAsia="es-ES"/>
    </w:rPr>
  </w:style>
  <w:style w:type="paragraph" w:styleId="Sinespaciado">
    <w:name w:val="No Spacing"/>
    <w:uiPriority w:val="1"/>
    <w:qFormat/>
    <w:rsid w:val="007D3EA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ja-JP"/>
    </w:rPr>
  </w:style>
  <w:style w:type="paragraph" w:customStyle="1" w:styleId="Sinespaciado1">
    <w:name w:val="Sin espaciado1"/>
    <w:uiPriority w:val="1"/>
    <w:semiHidden/>
    <w:qFormat/>
    <w:rsid w:val="007D3EAC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Cuadrculamedia1-nfasis21">
    <w:name w:val="Cuadrícula media 1 - Énfasis 21"/>
    <w:basedOn w:val="Normal"/>
    <w:uiPriority w:val="34"/>
    <w:qFormat/>
    <w:rsid w:val="00925E93"/>
    <w:pPr>
      <w:ind w:left="720"/>
      <w:contextualSpacing/>
    </w:pPr>
    <w:rPr>
      <w:rFonts w:ascii="Calibri" w:eastAsia="Calibri" w:hAnsi="Calibri"/>
      <w:lang w:eastAsia="en-US"/>
    </w:rPr>
  </w:style>
  <w:style w:type="character" w:styleId="Hipervnculo">
    <w:name w:val="Hyperlink"/>
    <w:basedOn w:val="Fuentedeprrafopredeter"/>
    <w:unhideWhenUsed/>
    <w:rsid w:val="00925E93"/>
    <w:rPr>
      <w:color w:val="0000FF"/>
      <w:u w:val="single"/>
    </w:rPr>
  </w:style>
  <w:style w:type="character" w:styleId="Nmerodepgina">
    <w:name w:val="page number"/>
    <w:basedOn w:val="Fuentedeprrafopredeter"/>
    <w:unhideWhenUsed/>
    <w:rsid w:val="00FC0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4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nacyt.gob.pa" TargetMode="External"/><Relationship Id="rId1" Type="http://schemas.openxmlformats.org/officeDocument/2006/relationships/hyperlink" Target="mailto:centrosregionales@senacyt.gob.p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Iriela Aguilar</dc:creator>
  <cp:keywords/>
  <dc:description/>
  <cp:lastModifiedBy>Keren-hapuc Esther Pineda Gomez</cp:lastModifiedBy>
  <cp:revision>19</cp:revision>
  <dcterms:created xsi:type="dcterms:W3CDTF">2021-10-12T14:32:00Z</dcterms:created>
  <dcterms:modified xsi:type="dcterms:W3CDTF">2025-07-30T21:38:00Z</dcterms:modified>
</cp:coreProperties>
</file>