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076853" w:rsidRPr="003D25E7" w:rsidTr="00741457">
        <w:trPr>
          <w:trHeight w:val="1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C96DDF" w:rsidRPr="003D25E7" w:rsidRDefault="00C96DDF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>ANUNCIO DE CONVOCATORIA PÚBLICA</w:t>
            </w:r>
          </w:p>
          <w:p w:rsidR="0095565A" w:rsidRPr="003D25E7" w:rsidRDefault="0095565A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 xml:space="preserve">PROGRAMA DE </w:t>
            </w:r>
            <w:r w:rsidR="00455161">
              <w:rPr>
                <w:rFonts w:ascii="Calibri" w:hAnsi="Calibri" w:cs="Arial"/>
                <w:b/>
                <w:sz w:val="18"/>
                <w:szCs w:val="18"/>
              </w:rPr>
              <w:t>DESARROLLO PROFESIONAL PARA EDUCADORES DEL SISTEMA EDUCATIVO NACIONAL</w:t>
            </w:r>
          </w:p>
          <w:p w:rsidR="007C2626" w:rsidRPr="00A13B55" w:rsidRDefault="000D1492" w:rsidP="007C2626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13B55">
              <w:rPr>
                <w:rFonts w:ascii="Calibri" w:hAnsi="Calibri" w:cs="Calibri"/>
                <w:b/>
                <w:sz w:val="18"/>
                <w:szCs w:val="18"/>
              </w:rPr>
              <w:t xml:space="preserve">CONVOCATORIA PÚBLICA </w:t>
            </w:r>
            <w:r w:rsidR="003E1197">
              <w:rPr>
                <w:rFonts w:ascii="Calibri" w:hAnsi="Calibri" w:cs="Calibri"/>
                <w:b/>
                <w:sz w:val="18"/>
                <w:szCs w:val="18"/>
              </w:rPr>
              <w:t>DE</w:t>
            </w:r>
            <w:r w:rsidR="007F084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ESPECIALIZACIÓN EN DIDACTICA DE LA QUÍMICA</w:t>
            </w:r>
          </w:p>
          <w:p w:rsidR="00B06753" w:rsidRPr="003D25E7" w:rsidRDefault="007C2626" w:rsidP="009F7258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 xml:space="preserve"> </w:t>
            </w:r>
            <w:r w:rsidR="00BB2C1A"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>(</w:t>
            </w:r>
            <w:r w:rsidR="00BB2C1A" w:rsidRPr="00BE4F79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Resolución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9B41F5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Administrativa de SENACYT No. </w:t>
            </w:r>
            <w:r w:rsidR="00B05BB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36 de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0 de 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marzo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201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</w:t>
            </w:r>
            <w:r w:rsidR="007F3D0D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, public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ado en la Gaceta Oficial No.</w:t>
            </w:r>
            <w:r w:rsidR="0064790B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27006 de 2 de abril</w:t>
            </w:r>
            <w:r w:rsidR="009F7258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2012</w:t>
            </w:r>
            <w:r w:rsidR="00B47C8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) </w:t>
            </w:r>
            <w:bookmarkEnd w:id="0"/>
            <w:bookmarkEnd w:id="1"/>
          </w:p>
        </w:tc>
      </w:tr>
      <w:tr w:rsidR="0038536D" w:rsidRPr="00804FCA" w:rsidTr="00E37F50">
        <w:trPr>
          <w:trHeight w:val="445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5D0" w:rsidRPr="00A76F57" w:rsidRDefault="0095565A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DIRIGIDA</w:t>
            </w:r>
            <w:r w:rsidR="00135F0C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A13B55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profesores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de educación media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, con funciones relacionadas a la enseñanza de la química</w:t>
            </w:r>
            <w:r w:rsidR="00C453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que posean nombramiento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permanente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del Ministerio de Educación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y que se encuentren en servicio 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 xml:space="preserve">activo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en el Sistema Educativo Nacional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:rsidTr="00CB5D36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626" w:rsidRPr="00A76F57" w:rsidRDefault="007C2626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OBJETIVO: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Contribuir a la formación continua de los docentes en servicio del Sistema Educativo Nacional para mejorar la enseñanza de la 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química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39AD" w:rsidRPr="007D39AD">
              <w:rPr>
                <w:rFonts w:asciiTheme="minorHAnsi" w:hAnsiTheme="minorHAnsi" w:cstheme="minorHAnsi"/>
                <w:sz w:val="16"/>
                <w:szCs w:val="16"/>
              </w:rPr>
              <w:t>en escuelas oficiales de las 15 regiones escolares de la República de Panamá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45AD7" w:rsidRPr="00804FCA" w:rsidTr="00703F02">
        <w:trPr>
          <w:trHeight w:val="1435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84C" w:rsidRPr="003E1197" w:rsidRDefault="007F084C" w:rsidP="003E1197">
            <w:pPr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sz w:val="16"/>
                <w:szCs w:val="16"/>
                <w:lang w:eastAsia="es-ES"/>
              </w:rPr>
              <w:t>DURACIÓN:</w:t>
            </w:r>
            <w:r w:rsidRPr="003E1197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7D39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El</w:t>
            </w:r>
            <w:r w:rsidR="003E1197"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Posgrado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tendrá una duración de </w:t>
            </w:r>
            <w:r w:rsidR="003E1197"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12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meses</w:t>
            </w:r>
            <w:r w:rsidR="007D39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.</w:t>
            </w:r>
          </w:p>
          <w:p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MODALIDAD: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modalidad semi-presencial. 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os espacios presenciales se realizarán durante los recesos estudiantiles (entre trimestres y en verano) y en algunos fines de semana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HORARIO PROPUESTO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los encuentros presenciales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serán de </w:t>
            </w:r>
            <w:r w:rsidR="002F1E8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lunes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a viernes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horario de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8:00 am a 4:00 p.m. y sábados de 8:30 a.m. a 4:00 p.m. </w:t>
            </w:r>
            <w:r w:rsidR="00C13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(Ciudad de Panamá)</w:t>
            </w:r>
          </w:p>
          <w:p w:rsidR="007F084C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FECHA DE INICIO: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DF71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septiembre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2018.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7D39AD" w:rsidRDefault="007F084C" w:rsidP="007D39A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MONTOS DEL SUBSIDIO: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7D39AD" w:rsidRPr="007D39AD" w:rsidRDefault="007F084C" w:rsidP="007D39AD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SENACYT cubrirá el 100% del monto del </w:t>
            </w:r>
            <w:r w:rsidR="003E1197"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Posgrado (Especialización)</w:t>
            </w:r>
            <w:r w:rsidRPr="007D39A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</w:p>
          <w:p w:rsidR="002F1E89" w:rsidRPr="003E1197" w:rsidRDefault="002F1E89" w:rsidP="007D39AD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La SENACYT cubrirá los viáticos de los encuentros presenciales a los beneficiarios seleccionados de acuerdo a la ubicación de la región escolar  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donde laboren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:rsidTr="00C96DDF">
        <w:trPr>
          <w:trHeight w:val="406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084C" w:rsidRPr="00C13E44" w:rsidRDefault="007F084C" w:rsidP="007F08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ESTRUCTURA DEL PROGRAMA: </w:t>
            </w:r>
          </w:p>
          <w:p w:rsidR="007F084C" w:rsidRDefault="00C13E44" w:rsidP="00C13E44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Dos (2) semestre.  Cada semestre constará de cuatro (4) cursos y un taller.  </w:t>
            </w:r>
          </w:p>
          <w:p w:rsidR="00C13E44" w:rsidRPr="00C13E44" w:rsidRDefault="00DF71E1" w:rsidP="00DF71E1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Diploma otorgado: Especialista en Didáctica de la Química para Educación Media.</w:t>
            </w:r>
          </w:p>
          <w:p w:rsidR="007C2626" w:rsidRPr="00A76F57" w:rsidRDefault="007D39AD" w:rsidP="007D39A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        </w:t>
            </w:r>
          </w:p>
        </w:tc>
      </w:tr>
      <w:tr w:rsidR="00DA16CD" w:rsidRPr="00804FCA" w:rsidTr="00FA00C4">
        <w:trPr>
          <w:trHeight w:val="289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DA16CD" w:rsidRPr="00A76F57" w:rsidRDefault="00BC4D04" w:rsidP="009A284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CRITERIOS</w:t>
            </w:r>
            <w:r w:rsidR="009A2848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r w:rsidR="001529F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REQUISITOS</w:t>
            </w:r>
          </w:p>
        </w:tc>
      </w:tr>
      <w:tr w:rsidR="00DA16CD" w:rsidRPr="00804FCA" w:rsidTr="00745D4F">
        <w:trPr>
          <w:trHeight w:val="2230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4F2A" w:rsidRPr="00A76F57" w:rsidRDefault="007C2626" w:rsidP="0059076B">
            <w:pPr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CRITERIOS</w:t>
            </w:r>
            <w:r w:rsidR="003B43C8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SELECCIÓN</w:t>
            </w: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bookmarkStart w:id="2" w:name="OLE_LINK5"/>
            <w:bookmarkStart w:id="3" w:name="OLE_LINK6"/>
          </w:p>
          <w:p w:rsidR="00A21529" w:rsidRPr="00A76F57" w:rsidRDefault="001A6FFE" w:rsidP="00DB4F2A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Todos los candidatos deben ser </w:t>
            </w:r>
            <w:r w:rsidR="00C13E44">
              <w:rPr>
                <w:rFonts w:asciiTheme="minorHAnsi" w:hAnsiTheme="minorHAnsi" w:cstheme="minorHAnsi"/>
                <w:sz w:val="16"/>
                <w:szCs w:val="16"/>
              </w:rPr>
              <w:t>profesores</w:t>
            </w:r>
            <w:r w:rsidR="0081428F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1C3D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 educación </w:t>
            </w:r>
            <w:r w:rsidR="00C13E44">
              <w:rPr>
                <w:rFonts w:asciiTheme="minorHAnsi" w:hAnsiTheme="minorHAnsi" w:cstheme="minorHAnsi"/>
                <w:sz w:val="16"/>
                <w:szCs w:val="16"/>
              </w:rPr>
              <w:t>Media</w:t>
            </w:r>
            <w:r w:rsidR="004B1C3D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y poseer</w:t>
            </w:r>
            <w:r w:rsidR="0081428F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nombramiento permanente del Ministerio de Educación en escuelas </w:t>
            </w:r>
            <w:r w:rsidR="00076652" w:rsidRPr="00A76F57">
              <w:rPr>
                <w:rFonts w:asciiTheme="minorHAnsi" w:hAnsiTheme="minorHAnsi" w:cstheme="minorHAnsi"/>
                <w:sz w:val="16"/>
                <w:szCs w:val="16"/>
              </w:rPr>
              <w:t>oficiales</w:t>
            </w:r>
            <w:r w:rsidR="00C13E44">
              <w:rPr>
                <w:rFonts w:asciiTheme="minorHAnsi" w:hAnsiTheme="minorHAnsi" w:cstheme="minorHAnsi"/>
                <w:sz w:val="16"/>
                <w:szCs w:val="16"/>
              </w:rPr>
              <w:t xml:space="preserve"> en alguna de las 15 </w:t>
            </w:r>
            <w:r w:rsidR="006931BE" w:rsidRPr="00A76F57">
              <w:rPr>
                <w:rFonts w:asciiTheme="minorHAnsi" w:hAnsiTheme="minorHAnsi" w:cstheme="minorHAnsi"/>
                <w:sz w:val="16"/>
                <w:szCs w:val="16"/>
              </w:rPr>
              <w:t>regiones escolares</w:t>
            </w:r>
            <w:r w:rsidR="004B1C3D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C62FE1" w:rsidRPr="00A76F57" w:rsidRDefault="00073CDA" w:rsidP="00DB4F2A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Características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or Evaluar</w:t>
            </w:r>
            <w:r w:rsidR="00C62FE1" w:rsidRPr="00A76F5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E12224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62FE1" w:rsidRPr="00A76F57" w:rsidRDefault="00C62FE1" w:rsidP="000562F1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Capacidad de Innovación y Creatividad</w:t>
            </w:r>
            <w:r w:rsidR="00186B3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(corroboradas a través de la carta de postulación del </w:t>
            </w:r>
            <w:proofErr w:type="gramStart"/>
            <w:r w:rsidR="008F05D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186B3E" w:rsidRPr="00A76F57">
              <w:rPr>
                <w:rFonts w:asciiTheme="minorHAnsi" w:hAnsiTheme="minorHAnsi" w:cstheme="minorHAnsi"/>
                <w:sz w:val="16"/>
                <w:szCs w:val="16"/>
              </w:rPr>
              <w:t>irector</w:t>
            </w:r>
            <w:proofErr w:type="gramEnd"/>
            <w:r w:rsidR="00186B3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r w:rsidR="008F05D8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186B3E" w:rsidRPr="00A76F57">
              <w:rPr>
                <w:rFonts w:asciiTheme="minorHAnsi" w:hAnsiTheme="minorHAnsi" w:cstheme="minorHAnsi"/>
                <w:sz w:val="16"/>
                <w:szCs w:val="16"/>
              </w:rPr>
              <w:t>entro escolar donde labore)</w:t>
            </w:r>
          </w:p>
          <w:p w:rsidR="00C62FE1" w:rsidRPr="00A76F57" w:rsidRDefault="001051C0" w:rsidP="000562F1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Evidencia de actividades </w:t>
            </w:r>
            <w:r w:rsidR="00D917B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(giras académicas, proyectos científicos entre otros), </w:t>
            </w:r>
            <w:r w:rsidR="00186B3E" w:rsidRPr="00A76F57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D917B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ntro </w:t>
            </w:r>
            <w:r w:rsidR="0046448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y fuera </w:t>
            </w:r>
            <w:r w:rsidR="00D917B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186B3E" w:rsidRPr="00A76F57">
              <w:rPr>
                <w:rFonts w:asciiTheme="minorHAnsi" w:hAnsiTheme="minorHAnsi" w:cstheme="minorHAnsi"/>
                <w:sz w:val="16"/>
                <w:szCs w:val="16"/>
              </w:rPr>
              <w:t>su centro educativo, que favorezcan el aprendizaje de los estudiantes</w:t>
            </w:r>
          </w:p>
          <w:p w:rsidR="001051C0" w:rsidRPr="00A76F57" w:rsidRDefault="001051C0" w:rsidP="000562F1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Participación en ferias de ciencias o encuentros de educadores</w:t>
            </w:r>
            <w:r w:rsidR="000C5ADF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1051C0" w:rsidRPr="00A76F57" w:rsidRDefault="001051C0" w:rsidP="000562F1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Liderazgo</w:t>
            </w:r>
          </w:p>
          <w:p w:rsidR="001051C0" w:rsidRPr="00A76F57" w:rsidRDefault="001051C0" w:rsidP="00A51544">
            <w:pPr>
              <w:pStyle w:val="Prrafodelista"/>
              <w:numPr>
                <w:ilvl w:val="0"/>
                <w:numId w:val="6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A51544" w:rsidRPr="00A76F57">
              <w:rPr>
                <w:rFonts w:asciiTheme="minorHAnsi" w:hAnsiTheme="minorHAnsi" w:cstheme="minorHAnsi"/>
                <w:sz w:val="16"/>
                <w:szCs w:val="16"/>
              </w:rPr>
              <w:t>rganización de eventos e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scolares</w:t>
            </w:r>
            <w:r w:rsidR="00D917B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(ferias, concursos científicos, olimpiadas, clubes de ciencia y otros)</w:t>
            </w:r>
          </w:p>
          <w:p w:rsidR="001051C0" w:rsidRPr="00A76F57" w:rsidRDefault="001051C0" w:rsidP="000562F1">
            <w:pPr>
              <w:pStyle w:val="Prrafodelista"/>
              <w:numPr>
                <w:ilvl w:val="0"/>
                <w:numId w:val="6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Participación en congresos u otras actividades</w:t>
            </w:r>
          </w:p>
          <w:p w:rsidR="001051C0" w:rsidRPr="00A76F57" w:rsidRDefault="001051C0" w:rsidP="000562F1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Mostrar interés en su formación continua y actualización</w:t>
            </w:r>
          </w:p>
          <w:p w:rsidR="00E07905" w:rsidRPr="00A76F57" w:rsidRDefault="00E07905" w:rsidP="00E07905">
            <w:pPr>
              <w:pStyle w:val="Prrafodelista"/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2FE1" w:rsidRPr="00A76F57" w:rsidRDefault="000E690B" w:rsidP="00DB4F2A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Nota: Es importante que estos aportes y ejecutorias </w:t>
            </w:r>
            <w:r w:rsidR="00E07905"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se vea</w:t>
            </w:r>
            <w:r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n reflejados </w:t>
            </w:r>
            <w:r w:rsidR="00E07905"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en su hoja de vida.</w:t>
            </w:r>
          </w:p>
          <w:p w:rsidR="00E07905" w:rsidRPr="00A76F57" w:rsidRDefault="00E07905" w:rsidP="00DB4F2A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</w:p>
          <w:bookmarkEnd w:id="2"/>
          <w:bookmarkEnd w:id="3"/>
          <w:p w:rsidR="0059076B" w:rsidRPr="00A76F57" w:rsidRDefault="000A6230" w:rsidP="0059076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>REQUISITOS:</w:t>
            </w:r>
          </w:p>
          <w:p w:rsidR="008F05D8" w:rsidRPr="00A76F57" w:rsidRDefault="008F05D8" w:rsidP="008F05D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Completar el for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mulario</w:t>
            </w: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 inscripción.</w:t>
            </w:r>
          </w:p>
          <w:p w:rsidR="00DB4F2A" w:rsidRPr="00A76F57" w:rsidRDefault="00DB4F2A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Carta de Postulación del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Di</w:t>
            </w:r>
            <w:r w:rsidR="008F05D8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rector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del 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entro escolar donde labora (debe ponderar su desempeño como docente)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:rsidR="00DB4F2A" w:rsidRPr="00A76F57" w:rsidRDefault="00DB4F2A" w:rsidP="00CE29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Ensayo </w:t>
            </w:r>
            <w:r w:rsidR="00E12224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</w:t>
            </w:r>
            <w:r w:rsidR="00DF650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veinte (20)</w:t>
            </w:r>
            <w:r w:rsidR="00E12224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líneas</w:t>
            </w:r>
            <w:r w:rsidR="0081428F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,</w:t>
            </w:r>
            <w:r w:rsidR="00E12224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 w:rsidR="004406C6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como </w:t>
            </w:r>
            <w:r w:rsidR="00956215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mínimo, </w:t>
            </w:r>
            <w:r w:rsidR="001C0746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donde explique su</w:t>
            </w:r>
            <w:r w:rsidR="00CA0BFE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 expectativas </w:t>
            </w:r>
            <w:r w:rsidR="008F05D8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 relación con</w:t>
            </w:r>
            <w:r w:rsidR="00CA0BFE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los </w:t>
            </w:r>
            <w:r w:rsidR="00CE2996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aprendizaje</w:t>
            </w:r>
            <w:r w:rsid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 que pudiera lograr en</w:t>
            </w:r>
            <w:r w:rsidR="00CA0BFE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CE2996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 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Posgrado </w:t>
            </w:r>
            <w:r w:rsidR="00CE2996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 </w:t>
            </w:r>
            <w:r w:rsidR="00AE4DD9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</w:t>
            </w:r>
            <w:r w:rsidR="001C0746"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opinión sobre el estado actual de la enseñanza de la 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</w:t>
            </w:r>
            <w:r w:rsidR="00DF65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uímica y de qué manera podría contribuir a mejorarla.</w:t>
            </w:r>
          </w:p>
          <w:p w:rsidR="00BB5C6B" w:rsidRPr="00BB5C6B" w:rsidRDefault="007E6922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Copia de </w:t>
            </w:r>
            <w:r w:rsidR="00DF6505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diploma </w:t>
            </w:r>
            <w:r w:rsidR="00DF650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que</w:t>
            </w:r>
            <w:r w:rsidR="00DB4F2A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lo a</w:t>
            </w:r>
            <w:r w:rsidR="00AE4DD9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credita como profesional de e</w:t>
            </w:r>
            <w:r w:rsidR="00DB4F2A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ducación</w:t>
            </w:r>
            <w:r w:rsidR="00C551C8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 w:rsidR="00DF650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Media</w:t>
            </w:r>
            <w:r w:rsidR="00C551C8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 w:rsidR="00DF6505" w:rsidRPr="00DF65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(otorgado por un centro universitario acreditado en Panamá para esta formación)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BB5C6B" w:rsidRDefault="00BB5C6B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1,5 o más como índice acumulativo de la licenciatura. </w:t>
            </w:r>
          </w:p>
          <w:p w:rsidR="00DB4F2A" w:rsidRPr="00A76F57" w:rsidRDefault="00DB4F2A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Copia de Cédula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vigente.</w:t>
            </w:r>
          </w:p>
          <w:p w:rsidR="00DB4F2A" w:rsidRPr="00A76F57" w:rsidRDefault="00DB4F2A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Hoja de Vida</w:t>
            </w:r>
            <w:r w:rsidR="00E80A20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en la que se vean reflejados sus aportes y ejecutorias en el campo educativo.</w:t>
            </w:r>
          </w:p>
          <w:p w:rsidR="00DB4F2A" w:rsidRPr="00A76F57" w:rsidRDefault="00B401EE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Una f</w:t>
            </w:r>
            <w:r w:rsidR="00DB4F2A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otografía tamaño carnet</w:t>
            </w:r>
          </w:p>
          <w:p w:rsidR="00DB4F2A" w:rsidRDefault="00DB4F2A" w:rsidP="000562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Paz y Salvo de 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la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SENACYT</w:t>
            </w:r>
            <w:r w:rsidR="00952F36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(se tramitará a través de la Dirección de Aprendizaje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y Popularización</w:t>
            </w:r>
            <w:r w:rsidR="00952F36"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)</w:t>
            </w:r>
            <w:r w:rsidR="008F05D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:rsidR="00DA16CD" w:rsidRPr="00A76F57" w:rsidRDefault="00DA16CD" w:rsidP="008F05D8">
            <w:pPr>
              <w:pStyle w:val="Prrafodelista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</w:p>
        </w:tc>
      </w:tr>
      <w:tr w:rsidR="00DA16CD" w:rsidRPr="00804FCA" w:rsidTr="00FA00C4">
        <w:trPr>
          <w:trHeight w:val="28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DA16CD" w:rsidRPr="00A76F57" w:rsidRDefault="00BC4D04" w:rsidP="009E5D4C">
            <w:pPr>
              <w:spacing w:before="120" w:after="120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FECHAS DE PRESENTACIÓN</w:t>
            </w:r>
          </w:p>
        </w:tc>
      </w:tr>
      <w:tr w:rsidR="00DA16CD" w:rsidRPr="00804FCA" w:rsidTr="00CB5D36">
        <w:trPr>
          <w:trHeight w:val="64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61E2" w:rsidRPr="00A76F57" w:rsidRDefault="000D61E2" w:rsidP="002A088D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="009B21D6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DE LA CONVOCATORIA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   </w:t>
            </w:r>
            <w:r w:rsidR="00613DF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21 de junio de 2018 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DA16CD" w:rsidRPr="00A76F57" w:rsidRDefault="009A2848" w:rsidP="00BF0AF9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FECHA DE CIERRE DE LA CONVOCATORIA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ab/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16 de julio. 3:30 pm. Hora </w:t>
            </w:r>
            <w:r w:rsidR="00DF71E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Exacta.</w:t>
            </w:r>
            <w:bookmarkStart w:id="4" w:name="_GoBack"/>
            <w:bookmarkEnd w:id="4"/>
            <w:r w:rsidR="00DF71E1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  <w:r w:rsidR="000B304F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</w:t>
            </w:r>
            <w:r w:rsid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DA16CD" w:rsidRPr="00804FCA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02" w:rsidRPr="00A76F57" w:rsidRDefault="0032138E" w:rsidP="00DF650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La documentación entregada deberá seguir las instrucciones y formatos establecidos en los formularios del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rograma</w:t>
            </w:r>
            <w:r w:rsidR="00310BF4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Desarrollo Profesional para Educadores del Sistema Educativo Nacional.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Los criterios de selección, detalles e instrucciones sobre la naturaleza de l</w:t>
            </w:r>
            <w:r w:rsidR="0067443B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os subsidios económicos para estudios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del Programa están descritos en el reglamento de este programa y disponibles en la página Web de la SENACYT (</w:t>
            </w:r>
            <w:hyperlink r:id="rId8" w:history="1">
              <w:r w:rsidR="009A2848" w:rsidRPr="00A76F57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www.senacyt.gob.pa</w:t>
              </w:r>
            </w:hyperlink>
            <w:r w:rsidR="001F773C" w:rsidRPr="00A76F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022048" w:rsidRPr="00A76F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Las solicitudes deben ser entregadas </w:t>
            </w:r>
            <w:r w:rsidR="00B05BB3" w:rsidRPr="00A76F57">
              <w:rPr>
                <w:rFonts w:asciiTheme="minorHAnsi" w:hAnsiTheme="minorHAnsi" w:cstheme="minorHAnsi"/>
                <w:sz w:val="16"/>
                <w:szCs w:val="16"/>
              </w:rPr>
              <w:t>en las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AB4163" w:rsidRPr="00A76F57">
              <w:rPr>
                <w:rFonts w:asciiTheme="minorHAnsi" w:hAnsiTheme="minorHAnsi" w:cstheme="minorHAnsi"/>
                <w:sz w:val="16"/>
                <w:szCs w:val="16"/>
              </w:rPr>
              <w:t>ficinas de</w:t>
            </w:r>
            <w:r w:rsidR="009F6F9F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5BB3" w:rsidRPr="00A76F57">
              <w:rPr>
                <w:rFonts w:asciiTheme="minorHAnsi" w:hAnsiTheme="minorHAnsi" w:cstheme="minorHAnsi"/>
                <w:sz w:val="16"/>
                <w:szCs w:val="16"/>
              </w:rPr>
              <w:t>la SENACYT</w:t>
            </w:r>
            <w:r w:rsidR="003C3C4A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(Edificio 205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 la Ciudad del Saber, Clayton,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AB4163" w:rsidRPr="00A76F57">
              <w:rPr>
                <w:rFonts w:asciiTheme="minorHAnsi" w:hAnsiTheme="minorHAnsi" w:cstheme="minorHAnsi"/>
                <w:sz w:val="16"/>
                <w:szCs w:val="16"/>
              </w:rPr>
              <w:t>iudad de Panamá)</w:t>
            </w:r>
            <w:r w:rsidR="00C7080F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="00C7080F" w:rsidRPr="00A76F57">
              <w:rPr>
                <w:rFonts w:asciiTheme="minorHAnsi" w:hAnsiTheme="minorHAnsi" w:cstheme="minorHAnsi"/>
                <w:sz w:val="16"/>
                <w:szCs w:val="16"/>
              </w:rPr>
              <w:t>enviadas</w:t>
            </w:r>
            <w:r w:rsidR="00CA0BF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por correo a </w:t>
            </w:r>
            <w:hyperlink r:id="rId9" w:history="1">
              <w:r w:rsidR="00DF6505" w:rsidRPr="00801B57">
                <w:rPr>
                  <w:rStyle w:val="Hipervnculo"/>
                  <w:rFonts w:asciiTheme="minorHAnsi" w:hAnsiTheme="minorHAnsi" w:cstheme="minorHAnsi"/>
                  <w:b/>
                  <w:sz w:val="16"/>
                  <w:szCs w:val="16"/>
                </w:rPr>
                <w:t>posgradoaprendizaje@senacyt.gob.pa</w:t>
              </w:r>
            </w:hyperlink>
            <w:r w:rsidR="00DF65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9A2848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hasta la fecha y hora de cierre </w:t>
            </w:r>
            <w:r w:rsidR="00CA0BFE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indicados.</w:t>
            </w:r>
          </w:p>
        </w:tc>
      </w:tr>
      <w:tr w:rsidR="00DA16CD" w:rsidRPr="00804FCA" w:rsidTr="00CA0BFE">
        <w:trPr>
          <w:trHeight w:val="899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A16CD" w:rsidRPr="00A76F57" w:rsidRDefault="007C2626" w:rsidP="008C261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  <w:t>EVALUACIÓN: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La evaluación de las propuestas será realizada por 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a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Comi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sión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Evalua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dora</w:t>
            </w:r>
            <w:r w:rsidR="00E011B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, designada de conformidad con lo establecido en el Reglamento del Programa.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 Los evaluadores deberán dejar constancia escrita de la ausencia de con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flictos de intereses y suscribir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una declaración de confidencialidad.  La SENACYT se reserva el derecho d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 no adjudicar ningun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o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de los cupos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 las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solicitudes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que fueron recibidas no cumplen con los criterios y calidad esperados o si las circunstancias presupuestarias impiden las adjudicaciones. </w:t>
            </w:r>
          </w:p>
        </w:tc>
      </w:tr>
      <w:tr w:rsidR="00DA16CD" w:rsidRPr="003D25E7" w:rsidTr="000909E0">
        <w:trPr>
          <w:trHeight w:val="431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DA16CD" w:rsidRPr="00A76F57" w:rsidRDefault="00DA16CD" w:rsidP="00DF6505">
            <w:pPr>
              <w:shd w:val="clear" w:color="auto" w:fill="17365D"/>
              <w:jc w:val="both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Es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responsabilidad del aspirante 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no de la SEN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ACYT asegurarse que la documentación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recibida esté completa y entregada en los plazos previstos.</w:t>
            </w:r>
            <w:r w:rsidR="000F3743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</w:t>
            </w:r>
            <w:r w:rsidR="00850B53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CONSULTAS:  </w:t>
            </w:r>
            <w:r w:rsidR="00850B53" w:rsidRPr="00A76F57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posgrado</w:t>
            </w:r>
            <w:r w:rsidR="00C551C8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aprendizaje</w:t>
            </w:r>
            <w:r w:rsidR="004A560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@senacyt.gob.pa</w:t>
            </w:r>
            <w:r w:rsidR="0086726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r w:rsidR="00180927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o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 517-0083</w:t>
            </w:r>
            <w:r w:rsidR="00CA0BFE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y 517-0186.</w:t>
            </w:r>
          </w:p>
        </w:tc>
      </w:tr>
    </w:tbl>
    <w:p w:rsidR="00CC04FD" w:rsidRPr="003D25E7" w:rsidRDefault="00CC04FD" w:rsidP="00771251">
      <w:pPr>
        <w:jc w:val="both"/>
        <w:rPr>
          <w:rFonts w:ascii="Calibri" w:hAnsi="Calibri" w:cs="Arial"/>
          <w:sz w:val="18"/>
          <w:szCs w:val="18"/>
        </w:rPr>
      </w:pPr>
    </w:p>
    <w:sectPr w:rsidR="00CC04FD" w:rsidRPr="003D25E7" w:rsidSect="0002329F">
      <w:headerReference w:type="default" r:id="rId10"/>
      <w:type w:val="continuous"/>
      <w:pgSz w:w="12240" w:h="20160" w:code="5"/>
      <w:pgMar w:top="532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59A" w:rsidRDefault="0092459A">
      <w:r>
        <w:separator/>
      </w:r>
    </w:p>
  </w:endnote>
  <w:endnote w:type="continuationSeparator" w:id="0">
    <w:p w:rsidR="0092459A" w:rsidRDefault="0092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59A" w:rsidRDefault="0092459A">
      <w:r>
        <w:separator/>
      </w:r>
    </w:p>
  </w:footnote>
  <w:footnote w:type="continuationSeparator" w:id="0">
    <w:p w:rsidR="0092459A" w:rsidRDefault="0092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15"/>
      <w:gridCol w:w="3598"/>
      <w:gridCol w:w="3553"/>
    </w:tblGrid>
    <w:tr w:rsidR="00695D8E" w:rsidTr="00AA3519">
      <w:tc>
        <w:tcPr>
          <w:tcW w:w="3635" w:type="dxa"/>
        </w:tcPr>
        <w:p w:rsidR="00695D8E" w:rsidRDefault="009B4AC5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837690" cy="4660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698E">
            <w:t xml:space="preserve">                     </w:t>
          </w:r>
        </w:p>
      </w:tc>
      <w:tc>
        <w:tcPr>
          <w:tcW w:w="3635" w:type="dxa"/>
        </w:tcPr>
        <w:p w:rsidR="00695D8E" w:rsidRDefault="00A2698E" w:rsidP="00A12521">
          <w:pPr>
            <w:pStyle w:val="Encabezado"/>
            <w:jc w:val="both"/>
          </w:pPr>
          <w:r>
            <w:t xml:space="preserve">              </w:t>
          </w:r>
          <w:r>
            <w:rPr>
              <w:noProof/>
              <w:lang w:val="es-PA" w:eastAsia="es-PA"/>
            </w:rPr>
            <w:drawing>
              <wp:inline distT="0" distB="0" distL="0" distR="0" wp14:anchorId="769CBA1B">
                <wp:extent cx="1568450" cy="800646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973" cy="806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:rsidR="00695D8E" w:rsidRDefault="009B4AC5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810895" cy="5092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5D8E" w:rsidRPr="00BE63E3" w:rsidRDefault="00695D8E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852"/>
    <w:multiLevelType w:val="hybridMultilevel"/>
    <w:tmpl w:val="31E6AA06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E0168"/>
    <w:multiLevelType w:val="hybridMultilevel"/>
    <w:tmpl w:val="2842B2F4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911A5C"/>
    <w:multiLevelType w:val="hybridMultilevel"/>
    <w:tmpl w:val="D63E98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B52"/>
    <w:multiLevelType w:val="hybridMultilevel"/>
    <w:tmpl w:val="9E943CB2"/>
    <w:lvl w:ilvl="0" w:tplc="ACD4CB72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912"/>
    <w:multiLevelType w:val="hybridMultilevel"/>
    <w:tmpl w:val="5D28380C"/>
    <w:lvl w:ilvl="0" w:tplc="2BBE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645"/>
    <w:multiLevelType w:val="hybridMultilevel"/>
    <w:tmpl w:val="29C49046"/>
    <w:lvl w:ilvl="0" w:tplc="1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2D0768"/>
    <w:multiLevelType w:val="hybridMultilevel"/>
    <w:tmpl w:val="95CACC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21704"/>
    <w:multiLevelType w:val="hybridMultilevel"/>
    <w:tmpl w:val="62F4A3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59B9"/>
    <w:multiLevelType w:val="hybridMultilevel"/>
    <w:tmpl w:val="7444E5EE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0207"/>
    <w:multiLevelType w:val="hybridMultilevel"/>
    <w:tmpl w:val="0ABAF7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891"/>
    <w:rsid w:val="00001658"/>
    <w:rsid w:val="00011C1A"/>
    <w:rsid w:val="00013A1A"/>
    <w:rsid w:val="00017F7B"/>
    <w:rsid w:val="00020BED"/>
    <w:rsid w:val="00020E1C"/>
    <w:rsid w:val="00022048"/>
    <w:rsid w:val="000225FF"/>
    <w:rsid w:val="0002329F"/>
    <w:rsid w:val="00024CBF"/>
    <w:rsid w:val="00031EF6"/>
    <w:rsid w:val="00032EA9"/>
    <w:rsid w:val="00041D93"/>
    <w:rsid w:val="00043964"/>
    <w:rsid w:val="00044B4C"/>
    <w:rsid w:val="00045759"/>
    <w:rsid w:val="000500C4"/>
    <w:rsid w:val="000539B3"/>
    <w:rsid w:val="000553F7"/>
    <w:rsid w:val="0005552A"/>
    <w:rsid w:val="000562F1"/>
    <w:rsid w:val="00057797"/>
    <w:rsid w:val="00062164"/>
    <w:rsid w:val="00062E6C"/>
    <w:rsid w:val="00063A84"/>
    <w:rsid w:val="00073CDA"/>
    <w:rsid w:val="00074B36"/>
    <w:rsid w:val="00075E9F"/>
    <w:rsid w:val="00076652"/>
    <w:rsid w:val="00076853"/>
    <w:rsid w:val="00082196"/>
    <w:rsid w:val="00084588"/>
    <w:rsid w:val="000846D0"/>
    <w:rsid w:val="000869EA"/>
    <w:rsid w:val="000909E0"/>
    <w:rsid w:val="00090B92"/>
    <w:rsid w:val="00094B06"/>
    <w:rsid w:val="00095CDE"/>
    <w:rsid w:val="00095D16"/>
    <w:rsid w:val="00096213"/>
    <w:rsid w:val="000968F2"/>
    <w:rsid w:val="000978C0"/>
    <w:rsid w:val="000A53F7"/>
    <w:rsid w:val="000A6230"/>
    <w:rsid w:val="000A7FAB"/>
    <w:rsid w:val="000B11C5"/>
    <w:rsid w:val="000B304F"/>
    <w:rsid w:val="000B4511"/>
    <w:rsid w:val="000B654F"/>
    <w:rsid w:val="000C1D58"/>
    <w:rsid w:val="000C5ADF"/>
    <w:rsid w:val="000C7125"/>
    <w:rsid w:val="000D0E31"/>
    <w:rsid w:val="000D1492"/>
    <w:rsid w:val="000D21CB"/>
    <w:rsid w:val="000D514F"/>
    <w:rsid w:val="000D61E2"/>
    <w:rsid w:val="000E00AA"/>
    <w:rsid w:val="000E2094"/>
    <w:rsid w:val="000E4860"/>
    <w:rsid w:val="000E5276"/>
    <w:rsid w:val="000E654C"/>
    <w:rsid w:val="000E690B"/>
    <w:rsid w:val="000E6E62"/>
    <w:rsid w:val="000F3743"/>
    <w:rsid w:val="000F5358"/>
    <w:rsid w:val="000F6948"/>
    <w:rsid w:val="00101EB4"/>
    <w:rsid w:val="00104F3F"/>
    <w:rsid w:val="00104F85"/>
    <w:rsid w:val="00104FB5"/>
    <w:rsid w:val="001051C0"/>
    <w:rsid w:val="0010606D"/>
    <w:rsid w:val="001119AF"/>
    <w:rsid w:val="00112C70"/>
    <w:rsid w:val="001146C8"/>
    <w:rsid w:val="00114CD1"/>
    <w:rsid w:val="00116CF0"/>
    <w:rsid w:val="00117B4C"/>
    <w:rsid w:val="00120312"/>
    <w:rsid w:val="001261DA"/>
    <w:rsid w:val="001311B3"/>
    <w:rsid w:val="00135F0C"/>
    <w:rsid w:val="00144253"/>
    <w:rsid w:val="001448EB"/>
    <w:rsid w:val="00147915"/>
    <w:rsid w:val="00150F26"/>
    <w:rsid w:val="001529FC"/>
    <w:rsid w:val="00152EA5"/>
    <w:rsid w:val="00164080"/>
    <w:rsid w:val="0016504B"/>
    <w:rsid w:val="00170C5A"/>
    <w:rsid w:val="00173215"/>
    <w:rsid w:val="00174820"/>
    <w:rsid w:val="00174A01"/>
    <w:rsid w:val="001759CE"/>
    <w:rsid w:val="0017786D"/>
    <w:rsid w:val="00180927"/>
    <w:rsid w:val="00183EF5"/>
    <w:rsid w:val="0018537E"/>
    <w:rsid w:val="0018652F"/>
    <w:rsid w:val="00186655"/>
    <w:rsid w:val="00186B3E"/>
    <w:rsid w:val="001904D2"/>
    <w:rsid w:val="0019061E"/>
    <w:rsid w:val="00193169"/>
    <w:rsid w:val="00197FBA"/>
    <w:rsid w:val="001A20D9"/>
    <w:rsid w:val="001A55BF"/>
    <w:rsid w:val="001A5FA8"/>
    <w:rsid w:val="001A6BB4"/>
    <w:rsid w:val="001A6FFE"/>
    <w:rsid w:val="001B234C"/>
    <w:rsid w:val="001B2D83"/>
    <w:rsid w:val="001B3A45"/>
    <w:rsid w:val="001B4553"/>
    <w:rsid w:val="001C071D"/>
    <w:rsid w:val="001C0746"/>
    <w:rsid w:val="001C0B4C"/>
    <w:rsid w:val="001C2B69"/>
    <w:rsid w:val="001C6E30"/>
    <w:rsid w:val="001C7B19"/>
    <w:rsid w:val="001C7CF7"/>
    <w:rsid w:val="001D21E0"/>
    <w:rsid w:val="001D33F6"/>
    <w:rsid w:val="001D7B34"/>
    <w:rsid w:val="001E200B"/>
    <w:rsid w:val="001E2927"/>
    <w:rsid w:val="001E467D"/>
    <w:rsid w:val="001E5EA6"/>
    <w:rsid w:val="001F0F0C"/>
    <w:rsid w:val="001F20E3"/>
    <w:rsid w:val="001F644D"/>
    <w:rsid w:val="001F773C"/>
    <w:rsid w:val="002033B9"/>
    <w:rsid w:val="00205D24"/>
    <w:rsid w:val="002103AA"/>
    <w:rsid w:val="00210D3C"/>
    <w:rsid w:val="00224316"/>
    <w:rsid w:val="00224478"/>
    <w:rsid w:val="002303C5"/>
    <w:rsid w:val="00230903"/>
    <w:rsid w:val="00231E6E"/>
    <w:rsid w:val="0023274E"/>
    <w:rsid w:val="00233657"/>
    <w:rsid w:val="00236200"/>
    <w:rsid w:val="0023685A"/>
    <w:rsid w:val="002415D7"/>
    <w:rsid w:val="002426B8"/>
    <w:rsid w:val="00244895"/>
    <w:rsid w:val="00253F83"/>
    <w:rsid w:val="00254084"/>
    <w:rsid w:val="002541F6"/>
    <w:rsid w:val="00254805"/>
    <w:rsid w:val="00254FFA"/>
    <w:rsid w:val="0025511D"/>
    <w:rsid w:val="00255637"/>
    <w:rsid w:val="00255DDA"/>
    <w:rsid w:val="0026253E"/>
    <w:rsid w:val="0026304F"/>
    <w:rsid w:val="00265C5A"/>
    <w:rsid w:val="00266739"/>
    <w:rsid w:val="00270163"/>
    <w:rsid w:val="002742FA"/>
    <w:rsid w:val="0027630A"/>
    <w:rsid w:val="00277408"/>
    <w:rsid w:val="002814FE"/>
    <w:rsid w:val="0028259F"/>
    <w:rsid w:val="002825D0"/>
    <w:rsid w:val="00282AAC"/>
    <w:rsid w:val="00285AFF"/>
    <w:rsid w:val="0029018D"/>
    <w:rsid w:val="00290A89"/>
    <w:rsid w:val="002921E2"/>
    <w:rsid w:val="002A088D"/>
    <w:rsid w:val="002A0987"/>
    <w:rsid w:val="002A0A89"/>
    <w:rsid w:val="002A3AC4"/>
    <w:rsid w:val="002A515B"/>
    <w:rsid w:val="002A5571"/>
    <w:rsid w:val="002B0839"/>
    <w:rsid w:val="002B1888"/>
    <w:rsid w:val="002C2DF8"/>
    <w:rsid w:val="002C4871"/>
    <w:rsid w:val="002C6ED9"/>
    <w:rsid w:val="002C77FC"/>
    <w:rsid w:val="002E4C33"/>
    <w:rsid w:val="002F1E89"/>
    <w:rsid w:val="002F1F97"/>
    <w:rsid w:val="002F344F"/>
    <w:rsid w:val="002F4BF1"/>
    <w:rsid w:val="002F75F8"/>
    <w:rsid w:val="00300466"/>
    <w:rsid w:val="00300B5F"/>
    <w:rsid w:val="003014C2"/>
    <w:rsid w:val="003060E4"/>
    <w:rsid w:val="003074ED"/>
    <w:rsid w:val="00307B68"/>
    <w:rsid w:val="00310BF4"/>
    <w:rsid w:val="00317349"/>
    <w:rsid w:val="0032138E"/>
    <w:rsid w:val="00321C35"/>
    <w:rsid w:val="003236D6"/>
    <w:rsid w:val="00330B2A"/>
    <w:rsid w:val="00335BD8"/>
    <w:rsid w:val="00337963"/>
    <w:rsid w:val="00340074"/>
    <w:rsid w:val="003412BB"/>
    <w:rsid w:val="0034552D"/>
    <w:rsid w:val="003455C0"/>
    <w:rsid w:val="003467BA"/>
    <w:rsid w:val="00352BA8"/>
    <w:rsid w:val="00354034"/>
    <w:rsid w:val="0035711E"/>
    <w:rsid w:val="00357826"/>
    <w:rsid w:val="00362ADE"/>
    <w:rsid w:val="003653A2"/>
    <w:rsid w:val="0037625B"/>
    <w:rsid w:val="0038307D"/>
    <w:rsid w:val="00384107"/>
    <w:rsid w:val="00384DA7"/>
    <w:rsid w:val="0038536D"/>
    <w:rsid w:val="00385AC9"/>
    <w:rsid w:val="003862A7"/>
    <w:rsid w:val="003930D4"/>
    <w:rsid w:val="00394EA3"/>
    <w:rsid w:val="00395C27"/>
    <w:rsid w:val="003A1F47"/>
    <w:rsid w:val="003A20A7"/>
    <w:rsid w:val="003A3013"/>
    <w:rsid w:val="003A6C42"/>
    <w:rsid w:val="003B0173"/>
    <w:rsid w:val="003B1B68"/>
    <w:rsid w:val="003B3834"/>
    <w:rsid w:val="003B4248"/>
    <w:rsid w:val="003B43C8"/>
    <w:rsid w:val="003B4E6E"/>
    <w:rsid w:val="003B5DBB"/>
    <w:rsid w:val="003C3C4A"/>
    <w:rsid w:val="003C425F"/>
    <w:rsid w:val="003C45FE"/>
    <w:rsid w:val="003C5308"/>
    <w:rsid w:val="003C5FBF"/>
    <w:rsid w:val="003C66C6"/>
    <w:rsid w:val="003C6923"/>
    <w:rsid w:val="003D25E7"/>
    <w:rsid w:val="003D26B6"/>
    <w:rsid w:val="003D4907"/>
    <w:rsid w:val="003D6DDA"/>
    <w:rsid w:val="003D752B"/>
    <w:rsid w:val="003E0233"/>
    <w:rsid w:val="003E1197"/>
    <w:rsid w:val="003E43D6"/>
    <w:rsid w:val="003F60BC"/>
    <w:rsid w:val="00400CBD"/>
    <w:rsid w:val="004020AC"/>
    <w:rsid w:val="00402CBA"/>
    <w:rsid w:val="004031F3"/>
    <w:rsid w:val="00404E9A"/>
    <w:rsid w:val="004055E1"/>
    <w:rsid w:val="00405A30"/>
    <w:rsid w:val="0040649A"/>
    <w:rsid w:val="00411945"/>
    <w:rsid w:val="00413985"/>
    <w:rsid w:val="00413DC8"/>
    <w:rsid w:val="00414A1B"/>
    <w:rsid w:val="00420C9A"/>
    <w:rsid w:val="00422218"/>
    <w:rsid w:val="0042241B"/>
    <w:rsid w:val="00423304"/>
    <w:rsid w:val="00427C72"/>
    <w:rsid w:val="00427FA0"/>
    <w:rsid w:val="00430793"/>
    <w:rsid w:val="00431446"/>
    <w:rsid w:val="00431F6C"/>
    <w:rsid w:val="00432DB7"/>
    <w:rsid w:val="004341D3"/>
    <w:rsid w:val="004406C6"/>
    <w:rsid w:val="00440968"/>
    <w:rsid w:val="00444E42"/>
    <w:rsid w:val="00447890"/>
    <w:rsid w:val="00455161"/>
    <w:rsid w:val="004566E5"/>
    <w:rsid w:val="00461655"/>
    <w:rsid w:val="004621EC"/>
    <w:rsid w:val="00463823"/>
    <w:rsid w:val="0046448E"/>
    <w:rsid w:val="00464ACA"/>
    <w:rsid w:val="00466A5A"/>
    <w:rsid w:val="00466A92"/>
    <w:rsid w:val="004732C2"/>
    <w:rsid w:val="00473FE3"/>
    <w:rsid w:val="00474504"/>
    <w:rsid w:val="0048054D"/>
    <w:rsid w:val="00481366"/>
    <w:rsid w:val="00487F2C"/>
    <w:rsid w:val="004A0695"/>
    <w:rsid w:val="004A560D"/>
    <w:rsid w:val="004B1C3D"/>
    <w:rsid w:val="004B39DF"/>
    <w:rsid w:val="004B415D"/>
    <w:rsid w:val="004B6DEB"/>
    <w:rsid w:val="004C1F20"/>
    <w:rsid w:val="004C70BD"/>
    <w:rsid w:val="004D115D"/>
    <w:rsid w:val="004E13C5"/>
    <w:rsid w:val="004E2FA6"/>
    <w:rsid w:val="004E367C"/>
    <w:rsid w:val="004E460F"/>
    <w:rsid w:val="004E4E22"/>
    <w:rsid w:val="004E5FBA"/>
    <w:rsid w:val="004F5929"/>
    <w:rsid w:val="004F6C2C"/>
    <w:rsid w:val="004F7716"/>
    <w:rsid w:val="005018F7"/>
    <w:rsid w:val="005031D1"/>
    <w:rsid w:val="005048A6"/>
    <w:rsid w:val="0050516A"/>
    <w:rsid w:val="00511476"/>
    <w:rsid w:val="00512D6C"/>
    <w:rsid w:val="0051689D"/>
    <w:rsid w:val="0052220B"/>
    <w:rsid w:val="005227CB"/>
    <w:rsid w:val="0052542A"/>
    <w:rsid w:val="00527E3A"/>
    <w:rsid w:val="00533213"/>
    <w:rsid w:val="005334F9"/>
    <w:rsid w:val="00534271"/>
    <w:rsid w:val="00534B51"/>
    <w:rsid w:val="005355C0"/>
    <w:rsid w:val="00536576"/>
    <w:rsid w:val="00536B90"/>
    <w:rsid w:val="00562576"/>
    <w:rsid w:val="00562C16"/>
    <w:rsid w:val="00564195"/>
    <w:rsid w:val="00565E1D"/>
    <w:rsid w:val="00571F03"/>
    <w:rsid w:val="0057358B"/>
    <w:rsid w:val="00573AFB"/>
    <w:rsid w:val="00576069"/>
    <w:rsid w:val="005760AF"/>
    <w:rsid w:val="00580A55"/>
    <w:rsid w:val="00580CB1"/>
    <w:rsid w:val="00582671"/>
    <w:rsid w:val="005831DE"/>
    <w:rsid w:val="005834F3"/>
    <w:rsid w:val="00584BB7"/>
    <w:rsid w:val="005902EA"/>
    <w:rsid w:val="0059076B"/>
    <w:rsid w:val="005912F2"/>
    <w:rsid w:val="005946E8"/>
    <w:rsid w:val="00596409"/>
    <w:rsid w:val="00596937"/>
    <w:rsid w:val="005971B4"/>
    <w:rsid w:val="005B0B8B"/>
    <w:rsid w:val="005B4711"/>
    <w:rsid w:val="005B4BEF"/>
    <w:rsid w:val="005C0393"/>
    <w:rsid w:val="005C0A19"/>
    <w:rsid w:val="005C65DB"/>
    <w:rsid w:val="005D2744"/>
    <w:rsid w:val="005D79AB"/>
    <w:rsid w:val="005E00C9"/>
    <w:rsid w:val="005E103A"/>
    <w:rsid w:val="005E25FF"/>
    <w:rsid w:val="005E5017"/>
    <w:rsid w:val="005E69B5"/>
    <w:rsid w:val="005E736B"/>
    <w:rsid w:val="005F5C46"/>
    <w:rsid w:val="005F7643"/>
    <w:rsid w:val="006025E3"/>
    <w:rsid w:val="00607FB5"/>
    <w:rsid w:val="00610776"/>
    <w:rsid w:val="006112E8"/>
    <w:rsid w:val="006127AC"/>
    <w:rsid w:val="00613803"/>
    <w:rsid w:val="00613DFD"/>
    <w:rsid w:val="00614C1E"/>
    <w:rsid w:val="00621BB7"/>
    <w:rsid w:val="00625959"/>
    <w:rsid w:val="0063212D"/>
    <w:rsid w:val="00633E62"/>
    <w:rsid w:val="00633F36"/>
    <w:rsid w:val="00634441"/>
    <w:rsid w:val="00635826"/>
    <w:rsid w:val="0064790B"/>
    <w:rsid w:val="00647B71"/>
    <w:rsid w:val="00652E01"/>
    <w:rsid w:val="006534A7"/>
    <w:rsid w:val="0065378D"/>
    <w:rsid w:val="00666E30"/>
    <w:rsid w:val="00670848"/>
    <w:rsid w:val="0067086F"/>
    <w:rsid w:val="00673286"/>
    <w:rsid w:val="0067443B"/>
    <w:rsid w:val="0068248F"/>
    <w:rsid w:val="00683DF0"/>
    <w:rsid w:val="00684E2B"/>
    <w:rsid w:val="00687CDE"/>
    <w:rsid w:val="00691A42"/>
    <w:rsid w:val="006931BE"/>
    <w:rsid w:val="0069370B"/>
    <w:rsid w:val="006941AB"/>
    <w:rsid w:val="00695D8E"/>
    <w:rsid w:val="006A0386"/>
    <w:rsid w:val="006A1B98"/>
    <w:rsid w:val="006A1EC9"/>
    <w:rsid w:val="006A4A57"/>
    <w:rsid w:val="006A66CE"/>
    <w:rsid w:val="006B0B67"/>
    <w:rsid w:val="006B1892"/>
    <w:rsid w:val="006B1D71"/>
    <w:rsid w:val="006B5828"/>
    <w:rsid w:val="006B5B44"/>
    <w:rsid w:val="006B5ED5"/>
    <w:rsid w:val="006B7DE7"/>
    <w:rsid w:val="006C11B8"/>
    <w:rsid w:val="006C5C81"/>
    <w:rsid w:val="006D28E7"/>
    <w:rsid w:val="006D492C"/>
    <w:rsid w:val="006D5373"/>
    <w:rsid w:val="006E1826"/>
    <w:rsid w:val="006E2A9E"/>
    <w:rsid w:val="006E34C2"/>
    <w:rsid w:val="006E4566"/>
    <w:rsid w:val="006E71C6"/>
    <w:rsid w:val="006F1CB5"/>
    <w:rsid w:val="006F236A"/>
    <w:rsid w:val="006F6AFA"/>
    <w:rsid w:val="00700069"/>
    <w:rsid w:val="00700B9E"/>
    <w:rsid w:val="00703210"/>
    <w:rsid w:val="00703F02"/>
    <w:rsid w:val="00704F28"/>
    <w:rsid w:val="007112CD"/>
    <w:rsid w:val="007114E1"/>
    <w:rsid w:val="007116CA"/>
    <w:rsid w:val="007149B0"/>
    <w:rsid w:val="00716100"/>
    <w:rsid w:val="00726A32"/>
    <w:rsid w:val="007275C6"/>
    <w:rsid w:val="00735436"/>
    <w:rsid w:val="00735810"/>
    <w:rsid w:val="0073591A"/>
    <w:rsid w:val="00741457"/>
    <w:rsid w:val="0074213A"/>
    <w:rsid w:val="00745D4F"/>
    <w:rsid w:val="00747C95"/>
    <w:rsid w:val="007507E9"/>
    <w:rsid w:val="00753D94"/>
    <w:rsid w:val="007647B5"/>
    <w:rsid w:val="00764D78"/>
    <w:rsid w:val="00767957"/>
    <w:rsid w:val="00771251"/>
    <w:rsid w:val="007728FE"/>
    <w:rsid w:val="0077326C"/>
    <w:rsid w:val="007760FF"/>
    <w:rsid w:val="007814BF"/>
    <w:rsid w:val="007822EB"/>
    <w:rsid w:val="007832C4"/>
    <w:rsid w:val="00783B53"/>
    <w:rsid w:val="00786D22"/>
    <w:rsid w:val="007872F9"/>
    <w:rsid w:val="007876E3"/>
    <w:rsid w:val="00791FAD"/>
    <w:rsid w:val="00797FDE"/>
    <w:rsid w:val="007A7007"/>
    <w:rsid w:val="007A74E8"/>
    <w:rsid w:val="007A7A20"/>
    <w:rsid w:val="007B00ED"/>
    <w:rsid w:val="007B1B6D"/>
    <w:rsid w:val="007B3BF9"/>
    <w:rsid w:val="007B4295"/>
    <w:rsid w:val="007B5A3F"/>
    <w:rsid w:val="007C1546"/>
    <w:rsid w:val="007C2626"/>
    <w:rsid w:val="007C52EA"/>
    <w:rsid w:val="007D31EC"/>
    <w:rsid w:val="007D3368"/>
    <w:rsid w:val="007D39AD"/>
    <w:rsid w:val="007D4686"/>
    <w:rsid w:val="007D5AD4"/>
    <w:rsid w:val="007D5F30"/>
    <w:rsid w:val="007E10D5"/>
    <w:rsid w:val="007E2420"/>
    <w:rsid w:val="007E2978"/>
    <w:rsid w:val="007E376A"/>
    <w:rsid w:val="007E4984"/>
    <w:rsid w:val="007E51A4"/>
    <w:rsid w:val="007E6922"/>
    <w:rsid w:val="007F084C"/>
    <w:rsid w:val="007F2911"/>
    <w:rsid w:val="007F3D0D"/>
    <w:rsid w:val="007F6627"/>
    <w:rsid w:val="007F7AE6"/>
    <w:rsid w:val="00800F1A"/>
    <w:rsid w:val="00804FCA"/>
    <w:rsid w:val="00805C0F"/>
    <w:rsid w:val="00805E62"/>
    <w:rsid w:val="00813CFC"/>
    <w:rsid w:val="0081428F"/>
    <w:rsid w:val="0081491E"/>
    <w:rsid w:val="00824667"/>
    <w:rsid w:val="008256C7"/>
    <w:rsid w:val="00840660"/>
    <w:rsid w:val="00850754"/>
    <w:rsid w:val="00850B53"/>
    <w:rsid w:val="008527C8"/>
    <w:rsid w:val="00854BF6"/>
    <w:rsid w:val="0085640B"/>
    <w:rsid w:val="0085730E"/>
    <w:rsid w:val="00861859"/>
    <w:rsid w:val="0086533E"/>
    <w:rsid w:val="0086726D"/>
    <w:rsid w:val="00870CE1"/>
    <w:rsid w:val="00870FCA"/>
    <w:rsid w:val="008713F5"/>
    <w:rsid w:val="008738EF"/>
    <w:rsid w:val="00874326"/>
    <w:rsid w:val="0087488F"/>
    <w:rsid w:val="0087697F"/>
    <w:rsid w:val="00876F43"/>
    <w:rsid w:val="0088204D"/>
    <w:rsid w:val="00883C7C"/>
    <w:rsid w:val="00883F74"/>
    <w:rsid w:val="00890EA8"/>
    <w:rsid w:val="00891D07"/>
    <w:rsid w:val="00892D15"/>
    <w:rsid w:val="00892E78"/>
    <w:rsid w:val="0089652B"/>
    <w:rsid w:val="008A39D6"/>
    <w:rsid w:val="008A4D99"/>
    <w:rsid w:val="008A5B16"/>
    <w:rsid w:val="008B045D"/>
    <w:rsid w:val="008B296A"/>
    <w:rsid w:val="008B303F"/>
    <w:rsid w:val="008B6456"/>
    <w:rsid w:val="008B69C0"/>
    <w:rsid w:val="008B7543"/>
    <w:rsid w:val="008C2616"/>
    <w:rsid w:val="008D21C2"/>
    <w:rsid w:val="008D403D"/>
    <w:rsid w:val="008E092C"/>
    <w:rsid w:val="008E097E"/>
    <w:rsid w:val="008E10BD"/>
    <w:rsid w:val="008E1E08"/>
    <w:rsid w:val="008E77B6"/>
    <w:rsid w:val="008F05D8"/>
    <w:rsid w:val="008F3DCB"/>
    <w:rsid w:val="0090600F"/>
    <w:rsid w:val="00912110"/>
    <w:rsid w:val="00913FB1"/>
    <w:rsid w:val="0091568E"/>
    <w:rsid w:val="00917092"/>
    <w:rsid w:val="0091742E"/>
    <w:rsid w:val="00920D58"/>
    <w:rsid w:val="00922250"/>
    <w:rsid w:val="0092348B"/>
    <w:rsid w:val="0092459A"/>
    <w:rsid w:val="00925C65"/>
    <w:rsid w:val="00925D8B"/>
    <w:rsid w:val="0093479A"/>
    <w:rsid w:val="00934990"/>
    <w:rsid w:val="009354D0"/>
    <w:rsid w:val="009379D9"/>
    <w:rsid w:val="00947E96"/>
    <w:rsid w:val="009511CA"/>
    <w:rsid w:val="00952F36"/>
    <w:rsid w:val="0095565A"/>
    <w:rsid w:val="00956215"/>
    <w:rsid w:val="009572F9"/>
    <w:rsid w:val="00964B68"/>
    <w:rsid w:val="00967396"/>
    <w:rsid w:val="00970DF1"/>
    <w:rsid w:val="00971A27"/>
    <w:rsid w:val="00971F40"/>
    <w:rsid w:val="009740BB"/>
    <w:rsid w:val="009761DD"/>
    <w:rsid w:val="00977C26"/>
    <w:rsid w:val="00985E29"/>
    <w:rsid w:val="00986C13"/>
    <w:rsid w:val="00987E58"/>
    <w:rsid w:val="00990937"/>
    <w:rsid w:val="00992B96"/>
    <w:rsid w:val="009A1B87"/>
    <w:rsid w:val="009A27C5"/>
    <w:rsid w:val="009A2848"/>
    <w:rsid w:val="009A2E90"/>
    <w:rsid w:val="009A446D"/>
    <w:rsid w:val="009A462A"/>
    <w:rsid w:val="009A5681"/>
    <w:rsid w:val="009A5BFC"/>
    <w:rsid w:val="009A72E0"/>
    <w:rsid w:val="009B039C"/>
    <w:rsid w:val="009B21D6"/>
    <w:rsid w:val="009B41F5"/>
    <w:rsid w:val="009B4AC5"/>
    <w:rsid w:val="009B6539"/>
    <w:rsid w:val="009B796B"/>
    <w:rsid w:val="009B7A4A"/>
    <w:rsid w:val="009C26AB"/>
    <w:rsid w:val="009C4DD2"/>
    <w:rsid w:val="009C5CA1"/>
    <w:rsid w:val="009C6F64"/>
    <w:rsid w:val="009C76FC"/>
    <w:rsid w:val="009D105E"/>
    <w:rsid w:val="009D2775"/>
    <w:rsid w:val="009D3738"/>
    <w:rsid w:val="009D5E58"/>
    <w:rsid w:val="009D7A63"/>
    <w:rsid w:val="009E0B70"/>
    <w:rsid w:val="009E11BD"/>
    <w:rsid w:val="009E2F09"/>
    <w:rsid w:val="009E4D10"/>
    <w:rsid w:val="009E4E46"/>
    <w:rsid w:val="009E5D4C"/>
    <w:rsid w:val="009F3E0B"/>
    <w:rsid w:val="009F44A9"/>
    <w:rsid w:val="009F6F9F"/>
    <w:rsid w:val="009F7258"/>
    <w:rsid w:val="00A00276"/>
    <w:rsid w:val="00A0129E"/>
    <w:rsid w:val="00A0504F"/>
    <w:rsid w:val="00A06E7F"/>
    <w:rsid w:val="00A12521"/>
    <w:rsid w:val="00A135DC"/>
    <w:rsid w:val="00A13B55"/>
    <w:rsid w:val="00A1418F"/>
    <w:rsid w:val="00A2119C"/>
    <w:rsid w:val="00A21529"/>
    <w:rsid w:val="00A21B4B"/>
    <w:rsid w:val="00A22644"/>
    <w:rsid w:val="00A24890"/>
    <w:rsid w:val="00A2698E"/>
    <w:rsid w:val="00A34D3C"/>
    <w:rsid w:val="00A40FC8"/>
    <w:rsid w:val="00A424FD"/>
    <w:rsid w:val="00A4504D"/>
    <w:rsid w:val="00A452D9"/>
    <w:rsid w:val="00A51544"/>
    <w:rsid w:val="00A52460"/>
    <w:rsid w:val="00A541B4"/>
    <w:rsid w:val="00A54819"/>
    <w:rsid w:val="00A57994"/>
    <w:rsid w:val="00A6152B"/>
    <w:rsid w:val="00A61D6F"/>
    <w:rsid w:val="00A64725"/>
    <w:rsid w:val="00A65BDD"/>
    <w:rsid w:val="00A6669F"/>
    <w:rsid w:val="00A67612"/>
    <w:rsid w:val="00A76F57"/>
    <w:rsid w:val="00A806F3"/>
    <w:rsid w:val="00A8079F"/>
    <w:rsid w:val="00A80E0B"/>
    <w:rsid w:val="00A811B9"/>
    <w:rsid w:val="00A81D13"/>
    <w:rsid w:val="00A835C8"/>
    <w:rsid w:val="00A84BD2"/>
    <w:rsid w:val="00A84D59"/>
    <w:rsid w:val="00A85165"/>
    <w:rsid w:val="00A86E97"/>
    <w:rsid w:val="00A873E1"/>
    <w:rsid w:val="00A91D86"/>
    <w:rsid w:val="00A92F26"/>
    <w:rsid w:val="00A9433E"/>
    <w:rsid w:val="00A94479"/>
    <w:rsid w:val="00A95A92"/>
    <w:rsid w:val="00AA013C"/>
    <w:rsid w:val="00AA1A5F"/>
    <w:rsid w:val="00AA30E6"/>
    <w:rsid w:val="00AA3519"/>
    <w:rsid w:val="00AA59F5"/>
    <w:rsid w:val="00AB21AA"/>
    <w:rsid w:val="00AB2698"/>
    <w:rsid w:val="00AB3ACE"/>
    <w:rsid w:val="00AB4163"/>
    <w:rsid w:val="00AB4185"/>
    <w:rsid w:val="00AB4F89"/>
    <w:rsid w:val="00AB5BD3"/>
    <w:rsid w:val="00AB62BB"/>
    <w:rsid w:val="00AB6B1E"/>
    <w:rsid w:val="00AC0734"/>
    <w:rsid w:val="00AC1AC4"/>
    <w:rsid w:val="00AC279B"/>
    <w:rsid w:val="00AD04E8"/>
    <w:rsid w:val="00AD3408"/>
    <w:rsid w:val="00AD3546"/>
    <w:rsid w:val="00AE0832"/>
    <w:rsid w:val="00AE26EA"/>
    <w:rsid w:val="00AE4DD9"/>
    <w:rsid w:val="00AF4792"/>
    <w:rsid w:val="00AF6DFC"/>
    <w:rsid w:val="00B0017E"/>
    <w:rsid w:val="00B00A09"/>
    <w:rsid w:val="00B05BB3"/>
    <w:rsid w:val="00B06225"/>
    <w:rsid w:val="00B06753"/>
    <w:rsid w:val="00B11D47"/>
    <w:rsid w:val="00B1358E"/>
    <w:rsid w:val="00B14B2A"/>
    <w:rsid w:val="00B26C57"/>
    <w:rsid w:val="00B33E2B"/>
    <w:rsid w:val="00B33EE3"/>
    <w:rsid w:val="00B401EE"/>
    <w:rsid w:val="00B4330A"/>
    <w:rsid w:val="00B43DB0"/>
    <w:rsid w:val="00B450FA"/>
    <w:rsid w:val="00B45AD7"/>
    <w:rsid w:val="00B45ED4"/>
    <w:rsid w:val="00B47BA3"/>
    <w:rsid w:val="00B47C81"/>
    <w:rsid w:val="00B50CB1"/>
    <w:rsid w:val="00B52BE2"/>
    <w:rsid w:val="00B554A6"/>
    <w:rsid w:val="00B5627B"/>
    <w:rsid w:val="00B6173B"/>
    <w:rsid w:val="00B654C0"/>
    <w:rsid w:val="00B67490"/>
    <w:rsid w:val="00B700B0"/>
    <w:rsid w:val="00B73DC0"/>
    <w:rsid w:val="00B74418"/>
    <w:rsid w:val="00B74FF3"/>
    <w:rsid w:val="00B76595"/>
    <w:rsid w:val="00B7670F"/>
    <w:rsid w:val="00B7768F"/>
    <w:rsid w:val="00B80B80"/>
    <w:rsid w:val="00B83C46"/>
    <w:rsid w:val="00B86410"/>
    <w:rsid w:val="00B945EB"/>
    <w:rsid w:val="00BA12A9"/>
    <w:rsid w:val="00BA76AA"/>
    <w:rsid w:val="00BB2C1A"/>
    <w:rsid w:val="00BB2E2E"/>
    <w:rsid w:val="00BB5C6B"/>
    <w:rsid w:val="00BB66EE"/>
    <w:rsid w:val="00BB681E"/>
    <w:rsid w:val="00BB70B8"/>
    <w:rsid w:val="00BB7FD4"/>
    <w:rsid w:val="00BC3ADC"/>
    <w:rsid w:val="00BC414B"/>
    <w:rsid w:val="00BC4C81"/>
    <w:rsid w:val="00BC4CC1"/>
    <w:rsid w:val="00BC4D04"/>
    <w:rsid w:val="00BC745D"/>
    <w:rsid w:val="00BD3C95"/>
    <w:rsid w:val="00BE17DA"/>
    <w:rsid w:val="00BE4F79"/>
    <w:rsid w:val="00BE597C"/>
    <w:rsid w:val="00BE62E5"/>
    <w:rsid w:val="00BE63E3"/>
    <w:rsid w:val="00BF0AF9"/>
    <w:rsid w:val="00BF0C12"/>
    <w:rsid w:val="00BF474D"/>
    <w:rsid w:val="00BF5F02"/>
    <w:rsid w:val="00BF692F"/>
    <w:rsid w:val="00C00C65"/>
    <w:rsid w:val="00C057F8"/>
    <w:rsid w:val="00C064D5"/>
    <w:rsid w:val="00C0770F"/>
    <w:rsid w:val="00C114FE"/>
    <w:rsid w:val="00C13E44"/>
    <w:rsid w:val="00C14155"/>
    <w:rsid w:val="00C1438B"/>
    <w:rsid w:val="00C20E1E"/>
    <w:rsid w:val="00C21FE5"/>
    <w:rsid w:val="00C22C9F"/>
    <w:rsid w:val="00C231E3"/>
    <w:rsid w:val="00C25595"/>
    <w:rsid w:val="00C259CF"/>
    <w:rsid w:val="00C26F0D"/>
    <w:rsid w:val="00C308DA"/>
    <w:rsid w:val="00C31218"/>
    <w:rsid w:val="00C31506"/>
    <w:rsid w:val="00C338B7"/>
    <w:rsid w:val="00C34F34"/>
    <w:rsid w:val="00C353FF"/>
    <w:rsid w:val="00C355F9"/>
    <w:rsid w:val="00C36DB0"/>
    <w:rsid w:val="00C3783E"/>
    <w:rsid w:val="00C413DB"/>
    <w:rsid w:val="00C41CC5"/>
    <w:rsid w:val="00C453E7"/>
    <w:rsid w:val="00C50432"/>
    <w:rsid w:val="00C52A1D"/>
    <w:rsid w:val="00C54AB2"/>
    <w:rsid w:val="00C551C8"/>
    <w:rsid w:val="00C629A9"/>
    <w:rsid w:val="00C62C9F"/>
    <w:rsid w:val="00C62D29"/>
    <w:rsid w:val="00C62FE1"/>
    <w:rsid w:val="00C7080F"/>
    <w:rsid w:val="00C755F1"/>
    <w:rsid w:val="00C77A11"/>
    <w:rsid w:val="00C825D0"/>
    <w:rsid w:val="00C84AAB"/>
    <w:rsid w:val="00C86007"/>
    <w:rsid w:val="00C90BB2"/>
    <w:rsid w:val="00C92ADE"/>
    <w:rsid w:val="00C95408"/>
    <w:rsid w:val="00C967BF"/>
    <w:rsid w:val="00C96DDF"/>
    <w:rsid w:val="00C97152"/>
    <w:rsid w:val="00CA0BFE"/>
    <w:rsid w:val="00CA112C"/>
    <w:rsid w:val="00CA1EFD"/>
    <w:rsid w:val="00CA20FA"/>
    <w:rsid w:val="00CA301C"/>
    <w:rsid w:val="00CA5584"/>
    <w:rsid w:val="00CA6529"/>
    <w:rsid w:val="00CB2353"/>
    <w:rsid w:val="00CB3A3D"/>
    <w:rsid w:val="00CB5D36"/>
    <w:rsid w:val="00CB69D2"/>
    <w:rsid w:val="00CB6C21"/>
    <w:rsid w:val="00CC04FD"/>
    <w:rsid w:val="00CC199D"/>
    <w:rsid w:val="00CC73CF"/>
    <w:rsid w:val="00CD282B"/>
    <w:rsid w:val="00CD2DDC"/>
    <w:rsid w:val="00CD55A2"/>
    <w:rsid w:val="00CD625B"/>
    <w:rsid w:val="00CD7E36"/>
    <w:rsid w:val="00CE2996"/>
    <w:rsid w:val="00CE2E62"/>
    <w:rsid w:val="00CF0B85"/>
    <w:rsid w:val="00CF1E3C"/>
    <w:rsid w:val="00CF3658"/>
    <w:rsid w:val="00CF4065"/>
    <w:rsid w:val="00CF5BE2"/>
    <w:rsid w:val="00D001B9"/>
    <w:rsid w:val="00D01C2D"/>
    <w:rsid w:val="00D06733"/>
    <w:rsid w:val="00D10F39"/>
    <w:rsid w:val="00D13313"/>
    <w:rsid w:val="00D13603"/>
    <w:rsid w:val="00D15BC0"/>
    <w:rsid w:val="00D171F5"/>
    <w:rsid w:val="00D215BC"/>
    <w:rsid w:val="00D25D3C"/>
    <w:rsid w:val="00D27BB6"/>
    <w:rsid w:val="00D31547"/>
    <w:rsid w:val="00D34947"/>
    <w:rsid w:val="00D34B9B"/>
    <w:rsid w:val="00D41016"/>
    <w:rsid w:val="00D41FDF"/>
    <w:rsid w:val="00D4738B"/>
    <w:rsid w:val="00D50457"/>
    <w:rsid w:val="00D5091C"/>
    <w:rsid w:val="00D54D8A"/>
    <w:rsid w:val="00D55B9B"/>
    <w:rsid w:val="00D56825"/>
    <w:rsid w:val="00D617E2"/>
    <w:rsid w:val="00D62CD2"/>
    <w:rsid w:val="00D63BD0"/>
    <w:rsid w:val="00D7101E"/>
    <w:rsid w:val="00D739FE"/>
    <w:rsid w:val="00D77F90"/>
    <w:rsid w:val="00D81834"/>
    <w:rsid w:val="00D82126"/>
    <w:rsid w:val="00D8285C"/>
    <w:rsid w:val="00D83D96"/>
    <w:rsid w:val="00D84706"/>
    <w:rsid w:val="00D85952"/>
    <w:rsid w:val="00D86334"/>
    <w:rsid w:val="00D866BB"/>
    <w:rsid w:val="00D872B5"/>
    <w:rsid w:val="00D907C1"/>
    <w:rsid w:val="00D914A7"/>
    <w:rsid w:val="00D917B8"/>
    <w:rsid w:val="00DA16CD"/>
    <w:rsid w:val="00DA3DAA"/>
    <w:rsid w:val="00DA3E79"/>
    <w:rsid w:val="00DB1D1B"/>
    <w:rsid w:val="00DB3634"/>
    <w:rsid w:val="00DB4F2A"/>
    <w:rsid w:val="00DB700C"/>
    <w:rsid w:val="00DC5180"/>
    <w:rsid w:val="00DC6618"/>
    <w:rsid w:val="00DC7EA6"/>
    <w:rsid w:val="00DD5086"/>
    <w:rsid w:val="00DE0FD4"/>
    <w:rsid w:val="00DE1A9D"/>
    <w:rsid w:val="00DE39B6"/>
    <w:rsid w:val="00DE5E7D"/>
    <w:rsid w:val="00DF0AB2"/>
    <w:rsid w:val="00DF0B9C"/>
    <w:rsid w:val="00DF0C2B"/>
    <w:rsid w:val="00DF0F44"/>
    <w:rsid w:val="00DF36F8"/>
    <w:rsid w:val="00DF6505"/>
    <w:rsid w:val="00DF71E1"/>
    <w:rsid w:val="00E011B6"/>
    <w:rsid w:val="00E03F38"/>
    <w:rsid w:val="00E05E4C"/>
    <w:rsid w:val="00E05EA7"/>
    <w:rsid w:val="00E07905"/>
    <w:rsid w:val="00E07BED"/>
    <w:rsid w:val="00E12224"/>
    <w:rsid w:val="00E14462"/>
    <w:rsid w:val="00E1589D"/>
    <w:rsid w:val="00E15F1E"/>
    <w:rsid w:val="00E310C4"/>
    <w:rsid w:val="00E3687B"/>
    <w:rsid w:val="00E37F50"/>
    <w:rsid w:val="00E40167"/>
    <w:rsid w:val="00E40459"/>
    <w:rsid w:val="00E42448"/>
    <w:rsid w:val="00E42BBC"/>
    <w:rsid w:val="00E42E66"/>
    <w:rsid w:val="00E4370F"/>
    <w:rsid w:val="00E45C2F"/>
    <w:rsid w:val="00E46B42"/>
    <w:rsid w:val="00E5000C"/>
    <w:rsid w:val="00E507E5"/>
    <w:rsid w:val="00E557CF"/>
    <w:rsid w:val="00E55CFB"/>
    <w:rsid w:val="00E6055D"/>
    <w:rsid w:val="00E62677"/>
    <w:rsid w:val="00E62793"/>
    <w:rsid w:val="00E70E3F"/>
    <w:rsid w:val="00E80887"/>
    <w:rsid w:val="00E80A20"/>
    <w:rsid w:val="00E812C6"/>
    <w:rsid w:val="00E86C16"/>
    <w:rsid w:val="00E86EAB"/>
    <w:rsid w:val="00E86F15"/>
    <w:rsid w:val="00E87C0C"/>
    <w:rsid w:val="00E87E84"/>
    <w:rsid w:val="00E93904"/>
    <w:rsid w:val="00E93BB5"/>
    <w:rsid w:val="00E9525E"/>
    <w:rsid w:val="00E956D6"/>
    <w:rsid w:val="00E95809"/>
    <w:rsid w:val="00E95913"/>
    <w:rsid w:val="00E96FDE"/>
    <w:rsid w:val="00EA000F"/>
    <w:rsid w:val="00EA0A74"/>
    <w:rsid w:val="00EA339B"/>
    <w:rsid w:val="00EA3A7E"/>
    <w:rsid w:val="00EA7F6D"/>
    <w:rsid w:val="00EB0AFB"/>
    <w:rsid w:val="00EB4E9A"/>
    <w:rsid w:val="00EC1265"/>
    <w:rsid w:val="00EC1D33"/>
    <w:rsid w:val="00EC3AD9"/>
    <w:rsid w:val="00EC52D5"/>
    <w:rsid w:val="00EC599C"/>
    <w:rsid w:val="00ED0362"/>
    <w:rsid w:val="00ED13FD"/>
    <w:rsid w:val="00ED1783"/>
    <w:rsid w:val="00ED35CD"/>
    <w:rsid w:val="00ED53FD"/>
    <w:rsid w:val="00ED7D27"/>
    <w:rsid w:val="00EE06EC"/>
    <w:rsid w:val="00EE0C64"/>
    <w:rsid w:val="00EE2519"/>
    <w:rsid w:val="00EE2E82"/>
    <w:rsid w:val="00EE6E44"/>
    <w:rsid w:val="00EF09AD"/>
    <w:rsid w:val="00EF3B80"/>
    <w:rsid w:val="00EF6F80"/>
    <w:rsid w:val="00F06F92"/>
    <w:rsid w:val="00F12B55"/>
    <w:rsid w:val="00F12E9D"/>
    <w:rsid w:val="00F15EAA"/>
    <w:rsid w:val="00F22DCA"/>
    <w:rsid w:val="00F2484A"/>
    <w:rsid w:val="00F305F4"/>
    <w:rsid w:val="00F3106B"/>
    <w:rsid w:val="00F320F9"/>
    <w:rsid w:val="00F321E6"/>
    <w:rsid w:val="00F34680"/>
    <w:rsid w:val="00F35005"/>
    <w:rsid w:val="00F35627"/>
    <w:rsid w:val="00F35CA2"/>
    <w:rsid w:val="00F40395"/>
    <w:rsid w:val="00F41B87"/>
    <w:rsid w:val="00F4353B"/>
    <w:rsid w:val="00F47EE9"/>
    <w:rsid w:val="00F5026D"/>
    <w:rsid w:val="00F525F5"/>
    <w:rsid w:val="00F53481"/>
    <w:rsid w:val="00F557F3"/>
    <w:rsid w:val="00F5737C"/>
    <w:rsid w:val="00F6001C"/>
    <w:rsid w:val="00F60F06"/>
    <w:rsid w:val="00F64214"/>
    <w:rsid w:val="00F656D6"/>
    <w:rsid w:val="00F67647"/>
    <w:rsid w:val="00F71CFC"/>
    <w:rsid w:val="00F777F5"/>
    <w:rsid w:val="00F77859"/>
    <w:rsid w:val="00F80136"/>
    <w:rsid w:val="00F80E73"/>
    <w:rsid w:val="00F811A3"/>
    <w:rsid w:val="00F8353E"/>
    <w:rsid w:val="00F85BE5"/>
    <w:rsid w:val="00F866B6"/>
    <w:rsid w:val="00F90BF6"/>
    <w:rsid w:val="00F92B87"/>
    <w:rsid w:val="00F9650D"/>
    <w:rsid w:val="00F971F6"/>
    <w:rsid w:val="00FA00C4"/>
    <w:rsid w:val="00FA5B22"/>
    <w:rsid w:val="00FB01FC"/>
    <w:rsid w:val="00FB33E4"/>
    <w:rsid w:val="00FB7A44"/>
    <w:rsid w:val="00FC277F"/>
    <w:rsid w:val="00FC33F5"/>
    <w:rsid w:val="00FC3B05"/>
    <w:rsid w:val="00FC766C"/>
    <w:rsid w:val="00FD1732"/>
    <w:rsid w:val="00FD3B75"/>
    <w:rsid w:val="00FD4B99"/>
    <w:rsid w:val="00FD66AE"/>
    <w:rsid w:val="00FD6A48"/>
    <w:rsid w:val="00FD7A2F"/>
    <w:rsid w:val="00FE1A46"/>
    <w:rsid w:val="00FE344A"/>
    <w:rsid w:val="00FE387E"/>
    <w:rsid w:val="00FF1B59"/>
    <w:rsid w:val="00FF2DEA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CB5CF9"/>
  <w15:chartTrackingRefBased/>
  <w15:docId w15:val="{C5F87F96-9370-4182-A83A-A9FFB79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859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aprendizaje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8426-041D-4A5A-BE3D-F02AFCE6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5217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dc:description/>
  <cp:lastModifiedBy>Ilsa Austin</cp:lastModifiedBy>
  <cp:revision>3</cp:revision>
  <cp:lastPrinted>2018-06-21T15:41:00Z</cp:lastPrinted>
  <dcterms:created xsi:type="dcterms:W3CDTF">2018-06-20T15:42:00Z</dcterms:created>
  <dcterms:modified xsi:type="dcterms:W3CDTF">2018-06-21T15:41:00Z</dcterms:modified>
</cp:coreProperties>
</file>