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6E876" w14:textId="1E5F4882" w:rsidR="00B93834" w:rsidRPr="006F54FC" w:rsidRDefault="00C2037A" w:rsidP="002403DD">
      <w:pPr>
        <w:rPr>
          <w:rFonts w:ascii="Century Gothic" w:hAnsi="Century Gothic"/>
          <w:sz w:val="14"/>
          <w:szCs w:val="14"/>
        </w:rPr>
      </w:pPr>
      <w:r>
        <w:rPr>
          <w:rFonts w:ascii="Century Gothic" w:hAnsi="Century Gothic"/>
          <w:sz w:val="14"/>
          <w:szCs w:val="14"/>
        </w:rPr>
        <w:t>l</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7"/>
        <w:gridCol w:w="5518"/>
      </w:tblGrid>
      <w:tr w:rsidR="00B93834" w:rsidRPr="006F54FC" w14:paraId="3F23D427" w14:textId="77777777" w:rsidTr="00042B08">
        <w:trPr>
          <w:trHeight w:val="1160"/>
          <w:jc w:val="center"/>
        </w:trPr>
        <w:tc>
          <w:tcPr>
            <w:tcW w:w="11035" w:type="dxa"/>
            <w:gridSpan w:val="2"/>
            <w:tcBorders>
              <w:bottom w:val="single" w:sz="4" w:space="0" w:color="auto"/>
            </w:tcBorders>
            <w:shd w:val="clear" w:color="auto" w:fill="17365D"/>
            <w:vAlign w:val="center"/>
          </w:tcPr>
          <w:p w14:paraId="442100E3" w14:textId="229B848E" w:rsidR="00C90F3D" w:rsidRDefault="00C90F3D" w:rsidP="00995023">
            <w:pPr>
              <w:jc w:val="center"/>
              <w:rPr>
                <w:rFonts w:ascii="Century Gothic" w:hAnsi="Century Gothic" w:cs="Calibri"/>
                <w:b/>
                <w:color w:val="FFFFFF"/>
                <w:sz w:val="16"/>
                <w:szCs w:val="14"/>
              </w:rPr>
            </w:pPr>
            <w:r w:rsidRPr="004F7582">
              <w:rPr>
                <w:rFonts w:ascii="Century Gothic" w:hAnsi="Century Gothic" w:cs="Calibri"/>
                <w:b/>
                <w:color w:val="FFFFFF"/>
                <w:sz w:val="16"/>
                <w:szCs w:val="14"/>
              </w:rPr>
              <w:t>ANUNCIO DE CONVOCATORIA PÚBLICA</w:t>
            </w:r>
          </w:p>
          <w:p w14:paraId="4338FC66" w14:textId="77777777" w:rsidR="004F7582" w:rsidRPr="004F7582" w:rsidRDefault="004F7582" w:rsidP="00995023">
            <w:pPr>
              <w:jc w:val="center"/>
              <w:rPr>
                <w:rFonts w:ascii="Century Gothic" w:hAnsi="Century Gothic" w:cs="Calibri"/>
                <w:b/>
                <w:color w:val="FFFFFF"/>
                <w:sz w:val="16"/>
                <w:szCs w:val="14"/>
              </w:rPr>
            </w:pPr>
          </w:p>
          <w:p w14:paraId="412BCE6B" w14:textId="1E2F6C1E" w:rsidR="00C90F3D" w:rsidRDefault="00C90F3D" w:rsidP="00995023">
            <w:pPr>
              <w:jc w:val="center"/>
              <w:rPr>
                <w:rFonts w:ascii="Century Gothic" w:hAnsi="Century Gothic" w:cs="Calibri"/>
                <w:b/>
                <w:color w:val="FFFFFF"/>
                <w:sz w:val="14"/>
                <w:szCs w:val="14"/>
              </w:rPr>
            </w:pPr>
            <w:r w:rsidRPr="00C90F3D">
              <w:rPr>
                <w:rFonts w:ascii="Century Gothic" w:hAnsi="Century Gothic" w:cs="Calibri"/>
                <w:b/>
                <w:color w:val="FFFFFF"/>
                <w:sz w:val="14"/>
                <w:szCs w:val="14"/>
              </w:rPr>
              <w:t>PROGRAMA DE APOYO A LAS ACTIVIDADES DE CIENCIA Y TECNOLOGÍA</w:t>
            </w:r>
          </w:p>
          <w:p w14:paraId="7447FD4B" w14:textId="4217F131" w:rsidR="00C90F3D" w:rsidRPr="00C90F3D" w:rsidRDefault="00C90F3D" w:rsidP="00995023">
            <w:pPr>
              <w:jc w:val="center"/>
              <w:rPr>
                <w:rFonts w:ascii="Century Gothic" w:hAnsi="Century Gothic" w:cs="Calibri"/>
                <w:b/>
                <w:color w:val="FFFFFF"/>
                <w:sz w:val="14"/>
                <w:szCs w:val="14"/>
              </w:rPr>
            </w:pPr>
            <w:r w:rsidRPr="00C90F3D">
              <w:rPr>
                <w:rFonts w:ascii="Century Gothic" w:hAnsi="Century Gothic" w:cs="Calibri"/>
                <w:b/>
                <w:color w:val="FFFFFF"/>
                <w:sz w:val="14"/>
                <w:szCs w:val="14"/>
              </w:rPr>
              <w:t>CONVOCATORIA PÚBLICA DE APOYO A</w:t>
            </w:r>
            <w:r w:rsidR="00995023">
              <w:rPr>
                <w:rFonts w:ascii="Century Gothic" w:hAnsi="Century Gothic" w:cs="Calibri"/>
                <w:b/>
                <w:color w:val="FFFFFF"/>
                <w:sz w:val="14"/>
                <w:szCs w:val="14"/>
              </w:rPr>
              <w:t>L FORTALECIMIENTO DE</w:t>
            </w:r>
            <w:r w:rsidRPr="00C90F3D">
              <w:rPr>
                <w:rFonts w:ascii="Century Gothic" w:hAnsi="Century Gothic" w:cs="Calibri"/>
                <w:b/>
                <w:color w:val="FFFFFF"/>
                <w:sz w:val="14"/>
                <w:szCs w:val="14"/>
              </w:rPr>
              <w:t xml:space="preserve"> CENTROS DE PENSAMIENTO NACIONALES 201</w:t>
            </w:r>
            <w:r w:rsidR="000A7605">
              <w:rPr>
                <w:rFonts w:ascii="Century Gothic" w:hAnsi="Century Gothic" w:cs="Calibri"/>
                <w:b/>
                <w:color w:val="FFFFFF"/>
                <w:sz w:val="14"/>
                <w:szCs w:val="14"/>
              </w:rPr>
              <w:t>8</w:t>
            </w:r>
          </w:p>
          <w:p w14:paraId="08CD1824" w14:textId="4BBE195E" w:rsidR="000A7605" w:rsidRPr="006F54FC" w:rsidRDefault="000A7605" w:rsidP="000A7605">
            <w:pPr>
              <w:jc w:val="center"/>
              <w:rPr>
                <w:rFonts w:ascii="Century Gothic" w:hAnsi="Century Gothic" w:cs="Calibri"/>
                <w:b/>
                <w:color w:val="FFFFFF"/>
                <w:sz w:val="14"/>
                <w:szCs w:val="14"/>
              </w:rPr>
            </w:pPr>
            <w:r w:rsidRPr="000A7605">
              <w:rPr>
                <w:rFonts w:ascii="Century Gothic" w:hAnsi="Century Gothic" w:cs="Calibri"/>
                <w:b/>
                <w:color w:val="FFFFFF"/>
                <w:sz w:val="14"/>
                <w:szCs w:val="14"/>
              </w:rPr>
              <w:t>Resolución Administrativa de la SENACYT No. 191 de 31 de julio de 2017, por medio de la cual se adopta el Reglamento Interno para las Contrataciones por Mérito, publicada en la Gaceta Oficial 28344-A del 16 de agosto de 2017</w:t>
            </w:r>
          </w:p>
        </w:tc>
      </w:tr>
      <w:tr w:rsidR="00B93834" w:rsidRPr="006F54FC" w14:paraId="6711FD1E" w14:textId="77777777" w:rsidTr="00042B08">
        <w:trPr>
          <w:trHeight w:val="658"/>
          <w:jc w:val="center"/>
        </w:trPr>
        <w:tc>
          <w:tcPr>
            <w:tcW w:w="11035" w:type="dxa"/>
            <w:gridSpan w:val="2"/>
            <w:shd w:val="clear" w:color="auto" w:fill="auto"/>
            <w:vAlign w:val="center"/>
          </w:tcPr>
          <w:p w14:paraId="5C8EA30C" w14:textId="5CADC91C" w:rsidR="00B93834" w:rsidRPr="006F54FC" w:rsidRDefault="00B93834" w:rsidP="00F65986">
            <w:pPr>
              <w:autoSpaceDE w:val="0"/>
              <w:autoSpaceDN w:val="0"/>
              <w:adjustRightInd w:val="0"/>
              <w:spacing w:before="120" w:after="120"/>
              <w:jc w:val="both"/>
              <w:rPr>
                <w:rFonts w:ascii="Century Gothic" w:hAnsi="Century Gothic" w:cs="Calibri"/>
                <w:sz w:val="14"/>
                <w:szCs w:val="14"/>
              </w:rPr>
            </w:pPr>
            <w:r w:rsidRPr="006F54FC">
              <w:rPr>
                <w:rFonts w:ascii="Century Gothic" w:hAnsi="Century Gothic" w:cs="Calibri"/>
                <w:b/>
                <w:sz w:val="14"/>
                <w:szCs w:val="14"/>
              </w:rPr>
              <w:t>DIRIGIDA A:</w:t>
            </w:r>
            <w:r w:rsidRPr="006F54FC">
              <w:rPr>
                <w:rFonts w:ascii="Century Gothic" w:hAnsi="Century Gothic" w:cs="Calibri"/>
                <w:sz w:val="14"/>
                <w:szCs w:val="14"/>
              </w:rPr>
              <w:t xml:space="preserve"> </w:t>
            </w:r>
            <w:r w:rsidR="00491E07">
              <w:rPr>
                <w:rFonts w:ascii="Century Gothic" w:hAnsi="Century Gothic" w:cs="Calibri"/>
                <w:sz w:val="14"/>
                <w:szCs w:val="14"/>
              </w:rPr>
              <w:t>Organizaciones</w:t>
            </w:r>
            <w:r w:rsidR="00C90F3D" w:rsidRPr="00C90F3D">
              <w:rPr>
                <w:rFonts w:ascii="Century Gothic" w:hAnsi="Century Gothic" w:cs="Calibri"/>
                <w:sz w:val="14"/>
                <w:szCs w:val="14"/>
              </w:rPr>
              <w:t xml:space="preserve"> que realicen investigación</w:t>
            </w:r>
            <w:r w:rsidR="00C23A23">
              <w:rPr>
                <w:rFonts w:ascii="Century Gothic" w:hAnsi="Century Gothic" w:cs="Calibri"/>
                <w:sz w:val="14"/>
                <w:szCs w:val="14"/>
              </w:rPr>
              <w:t xml:space="preserve"> orientada a </w:t>
            </w:r>
            <w:r w:rsidR="00B320A5">
              <w:rPr>
                <w:rFonts w:ascii="Century Gothic" w:hAnsi="Century Gothic" w:cs="Calibri"/>
                <w:sz w:val="14"/>
                <w:szCs w:val="14"/>
              </w:rPr>
              <w:t xml:space="preserve">las </w:t>
            </w:r>
            <w:r w:rsidR="00C23A23">
              <w:rPr>
                <w:rFonts w:ascii="Century Gothic" w:hAnsi="Century Gothic" w:cs="Calibri"/>
                <w:sz w:val="14"/>
                <w:szCs w:val="14"/>
              </w:rPr>
              <w:t>políticas públicas</w:t>
            </w:r>
            <w:r w:rsidR="006066F7">
              <w:rPr>
                <w:rFonts w:ascii="Century Gothic" w:hAnsi="Century Gothic" w:cs="Calibri"/>
                <w:sz w:val="14"/>
                <w:szCs w:val="14"/>
              </w:rPr>
              <w:t>,</w:t>
            </w:r>
            <w:r w:rsidR="002C6544">
              <w:rPr>
                <w:rFonts w:ascii="Century Gothic" w:hAnsi="Century Gothic" w:cs="Calibri"/>
                <w:sz w:val="14"/>
                <w:szCs w:val="14"/>
              </w:rPr>
              <w:t xml:space="preserve"> constituid</w:t>
            </w:r>
            <w:r w:rsidR="006066F7">
              <w:rPr>
                <w:rFonts w:ascii="Century Gothic" w:hAnsi="Century Gothic" w:cs="Calibri"/>
                <w:sz w:val="14"/>
                <w:szCs w:val="14"/>
              </w:rPr>
              <w:t>a</w:t>
            </w:r>
            <w:r w:rsidR="002C6544">
              <w:rPr>
                <w:rFonts w:ascii="Century Gothic" w:hAnsi="Century Gothic" w:cs="Calibri"/>
                <w:sz w:val="14"/>
                <w:szCs w:val="14"/>
              </w:rPr>
              <w:t xml:space="preserve">s como </w:t>
            </w:r>
            <w:r w:rsidR="00CE2065">
              <w:rPr>
                <w:rFonts w:ascii="Century Gothic" w:hAnsi="Century Gothic" w:cs="Calibri"/>
                <w:sz w:val="14"/>
                <w:szCs w:val="14"/>
              </w:rPr>
              <w:t>instituciones académicas públicas o privadas debidamente reconocidas por el organismo nacional de acreditación, centros de investigación públicos o privados</w:t>
            </w:r>
            <w:r w:rsidR="00F65986">
              <w:rPr>
                <w:rFonts w:ascii="Century Gothic" w:hAnsi="Century Gothic" w:cs="Calibri"/>
                <w:sz w:val="14"/>
                <w:szCs w:val="14"/>
              </w:rPr>
              <w:t>, asociaciones de interés público, fundaciones de interés privado sin fines de lucro u organizaciones no gubernamentales</w:t>
            </w:r>
            <w:r w:rsidR="002C6544">
              <w:rPr>
                <w:rFonts w:ascii="Century Gothic" w:hAnsi="Century Gothic" w:cs="Calibri"/>
                <w:sz w:val="14"/>
                <w:szCs w:val="14"/>
              </w:rPr>
              <w:t>;</w:t>
            </w:r>
            <w:r w:rsidR="00C90F3D" w:rsidRPr="00C90F3D">
              <w:rPr>
                <w:rFonts w:ascii="Century Gothic" w:hAnsi="Century Gothic" w:cs="Calibri"/>
                <w:sz w:val="14"/>
                <w:szCs w:val="14"/>
              </w:rPr>
              <w:t xml:space="preserve"> domiciliadas en Panamá y con capacidad para realizar investigación científica, desarrollo tecnológico o innovación.</w:t>
            </w:r>
          </w:p>
        </w:tc>
      </w:tr>
      <w:tr w:rsidR="00B93834" w:rsidRPr="006F54FC" w14:paraId="7C631656" w14:textId="77777777" w:rsidTr="00042B08">
        <w:trPr>
          <w:trHeight w:val="430"/>
          <w:jc w:val="center"/>
        </w:trPr>
        <w:tc>
          <w:tcPr>
            <w:tcW w:w="11035" w:type="dxa"/>
            <w:gridSpan w:val="2"/>
            <w:shd w:val="clear" w:color="auto" w:fill="auto"/>
            <w:vAlign w:val="center"/>
          </w:tcPr>
          <w:p w14:paraId="3828481B" w14:textId="20C0AFC8" w:rsidR="00B93834" w:rsidRPr="00F97B11" w:rsidRDefault="00B93834" w:rsidP="00491E07">
            <w:pPr>
              <w:autoSpaceDE w:val="0"/>
              <w:autoSpaceDN w:val="0"/>
              <w:adjustRightInd w:val="0"/>
              <w:spacing w:before="120" w:after="120"/>
              <w:jc w:val="both"/>
              <w:rPr>
                <w:rFonts w:ascii="Century Gothic" w:hAnsi="Century Gothic" w:cs="Calibri"/>
                <w:sz w:val="14"/>
                <w:szCs w:val="14"/>
              </w:rPr>
            </w:pPr>
            <w:r w:rsidRPr="00F97B11">
              <w:rPr>
                <w:rFonts w:ascii="Century Gothic" w:hAnsi="Century Gothic" w:cs="Calibri"/>
                <w:b/>
                <w:sz w:val="14"/>
                <w:szCs w:val="14"/>
              </w:rPr>
              <w:t>OBJETIVO:</w:t>
            </w:r>
            <w:r w:rsidRPr="00F97B11">
              <w:rPr>
                <w:rFonts w:ascii="Century Gothic" w:hAnsi="Century Gothic" w:cs="Calibri"/>
                <w:sz w:val="14"/>
                <w:szCs w:val="14"/>
              </w:rPr>
              <w:t xml:space="preserve"> </w:t>
            </w:r>
            <w:r w:rsidR="007860AD" w:rsidRPr="00F97B11">
              <w:rPr>
                <w:rFonts w:ascii="Century Gothic" w:hAnsi="Century Gothic" w:cs="Calibri"/>
                <w:sz w:val="14"/>
                <w:szCs w:val="14"/>
              </w:rPr>
              <w:t xml:space="preserve">Apoyar al fortalecimiento de </w:t>
            </w:r>
            <w:r w:rsidR="00C90F3D" w:rsidRPr="00F97B11">
              <w:rPr>
                <w:rFonts w:ascii="Century Gothic" w:hAnsi="Century Gothic" w:cs="Calibri"/>
                <w:sz w:val="14"/>
                <w:szCs w:val="14"/>
              </w:rPr>
              <w:t xml:space="preserve">las </w:t>
            </w:r>
            <w:r w:rsidR="00491E07">
              <w:rPr>
                <w:rFonts w:ascii="Century Gothic" w:hAnsi="Century Gothic" w:cs="Calibri"/>
                <w:sz w:val="14"/>
                <w:szCs w:val="14"/>
              </w:rPr>
              <w:t>organizaciones</w:t>
            </w:r>
            <w:r w:rsidR="00C90F3D" w:rsidRPr="00F97B11">
              <w:rPr>
                <w:rFonts w:ascii="Century Gothic" w:hAnsi="Century Gothic" w:cs="Calibri"/>
                <w:sz w:val="14"/>
                <w:szCs w:val="14"/>
              </w:rPr>
              <w:t xml:space="preserve"> que se dedican a actividades de investigación orientada a las </w:t>
            </w:r>
            <w:r w:rsidR="00B406C1" w:rsidRPr="00F97B11">
              <w:rPr>
                <w:rFonts w:ascii="Century Gothic" w:hAnsi="Century Gothic" w:cs="Calibri"/>
                <w:sz w:val="14"/>
                <w:szCs w:val="14"/>
              </w:rPr>
              <w:t>políticas públicas, mediante</w:t>
            </w:r>
            <w:r w:rsidR="006066F7">
              <w:rPr>
                <w:rFonts w:ascii="Century Gothic" w:hAnsi="Century Gothic" w:cs="Calibri"/>
                <w:sz w:val="14"/>
                <w:szCs w:val="14"/>
              </w:rPr>
              <w:t xml:space="preserve"> el</w:t>
            </w:r>
            <w:r w:rsidR="00B406C1" w:rsidRPr="00F97B11">
              <w:rPr>
                <w:rFonts w:ascii="Century Gothic" w:hAnsi="Century Gothic" w:cs="Calibri"/>
                <w:sz w:val="14"/>
                <w:szCs w:val="14"/>
              </w:rPr>
              <w:t xml:space="preserve"> </w:t>
            </w:r>
            <w:r w:rsidR="00995023" w:rsidRPr="00F97B11">
              <w:rPr>
                <w:rFonts w:ascii="Century Gothic" w:hAnsi="Century Gothic" w:cs="Calibri"/>
                <w:sz w:val="14"/>
                <w:szCs w:val="14"/>
              </w:rPr>
              <w:t xml:space="preserve">financiamiento </w:t>
            </w:r>
            <w:r w:rsidR="0079182F">
              <w:rPr>
                <w:rFonts w:ascii="Century Gothic" w:hAnsi="Century Gothic" w:cs="Calibri"/>
                <w:sz w:val="14"/>
                <w:szCs w:val="14"/>
              </w:rPr>
              <w:t xml:space="preserve">de actividades </w:t>
            </w:r>
            <w:r w:rsidR="00B406C1" w:rsidRPr="00F97B11">
              <w:rPr>
                <w:rFonts w:ascii="Century Gothic" w:hAnsi="Century Gothic" w:cs="Calibri"/>
                <w:sz w:val="14"/>
                <w:szCs w:val="14"/>
              </w:rPr>
              <w:t>para el desarrollo de</w:t>
            </w:r>
            <w:r w:rsidR="00995023" w:rsidRPr="00F97B11">
              <w:rPr>
                <w:rFonts w:ascii="Century Gothic" w:hAnsi="Century Gothic" w:cs="Calibri"/>
                <w:sz w:val="14"/>
                <w:szCs w:val="14"/>
              </w:rPr>
              <w:t xml:space="preserve"> </w:t>
            </w:r>
            <w:r w:rsidR="00095A0D">
              <w:rPr>
                <w:rFonts w:ascii="Century Gothic" w:hAnsi="Century Gothic" w:cs="Calibri"/>
                <w:sz w:val="14"/>
                <w:szCs w:val="14"/>
              </w:rPr>
              <w:t>una estructura organizacional para</w:t>
            </w:r>
            <w:r w:rsidR="00F97B11" w:rsidRPr="00F97B11">
              <w:rPr>
                <w:rFonts w:ascii="Century Gothic" w:hAnsi="Century Gothic" w:cs="Calibri"/>
                <w:sz w:val="14"/>
                <w:szCs w:val="14"/>
              </w:rPr>
              <w:t xml:space="preserve"> </w:t>
            </w:r>
            <w:r w:rsidR="006066F7">
              <w:rPr>
                <w:rFonts w:ascii="Century Gothic" w:hAnsi="Century Gothic" w:cs="Calibri"/>
                <w:sz w:val="14"/>
                <w:szCs w:val="14"/>
              </w:rPr>
              <w:t xml:space="preserve">la </w:t>
            </w:r>
            <w:r w:rsidR="00F97B11" w:rsidRPr="00F97B11">
              <w:rPr>
                <w:rFonts w:ascii="Century Gothic" w:hAnsi="Century Gothic" w:cs="Calibri"/>
                <w:sz w:val="14"/>
                <w:szCs w:val="14"/>
              </w:rPr>
              <w:t xml:space="preserve">gobernanza, capacidades de comunicación efectiva o desarrollo de una </w:t>
            </w:r>
            <w:r w:rsidR="006066F7">
              <w:rPr>
                <w:rFonts w:ascii="Century Gothic" w:hAnsi="Century Gothic" w:cs="Calibri"/>
                <w:sz w:val="14"/>
                <w:szCs w:val="14"/>
              </w:rPr>
              <w:t xml:space="preserve">estrategia y una </w:t>
            </w:r>
            <w:r w:rsidR="00F97B11" w:rsidRPr="00F97B11">
              <w:rPr>
                <w:rFonts w:ascii="Century Gothic" w:hAnsi="Century Gothic" w:cs="Calibri"/>
                <w:sz w:val="14"/>
                <w:szCs w:val="14"/>
              </w:rPr>
              <w:t>agenda de investigación</w:t>
            </w:r>
            <w:r w:rsidR="00F97B11" w:rsidRPr="00F97B11">
              <w:rPr>
                <w:rFonts w:ascii="Century Gothic" w:hAnsi="Century Gothic" w:cs="Calibri"/>
                <w:sz w:val="14"/>
                <w:szCs w:val="14"/>
                <w:lang w:val="es-ES_tradnl"/>
              </w:rPr>
              <w:t>.</w:t>
            </w:r>
          </w:p>
        </w:tc>
      </w:tr>
      <w:tr w:rsidR="00B93834" w:rsidRPr="006F54FC" w14:paraId="06FFCE6E" w14:textId="77777777" w:rsidTr="00DF08C2">
        <w:trPr>
          <w:trHeight w:val="1272"/>
          <w:jc w:val="center"/>
        </w:trPr>
        <w:tc>
          <w:tcPr>
            <w:tcW w:w="11035" w:type="dxa"/>
            <w:gridSpan w:val="2"/>
            <w:shd w:val="clear" w:color="auto" w:fill="auto"/>
          </w:tcPr>
          <w:p w14:paraId="005CDBFB" w14:textId="77777777" w:rsidR="00B93834" w:rsidRPr="00095A0D" w:rsidRDefault="00DF0FFC" w:rsidP="00995023">
            <w:pPr>
              <w:spacing w:before="120" w:after="120"/>
              <w:rPr>
                <w:rFonts w:ascii="Century Gothic" w:hAnsi="Century Gothic" w:cs="Calibri"/>
                <w:b/>
                <w:sz w:val="14"/>
                <w:szCs w:val="14"/>
              </w:rPr>
            </w:pPr>
            <w:r w:rsidRPr="00095A0D">
              <w:rPr>
                <w:rFonts w:ascii="Century Gothic" w:hAnsi="Century Gothic" w:cs="Calibri"/>
                <w:b/>
                <w:sz w:val="14"/>
                <w:szCs w:val="14"/>
              </w:rPr>
              <w:t>CATEGORÍAS</w:t>
            </w:r>
            <w:r w:rsidR="00A54491" w:rsidRPr="00095A0D">
              <w:rPr>
                <w:rFonts w:ascii="Century Gothic" w:hAnsi="Century Gothic" w:cs="Calibri"/>
                <w:b/>
                <w:sz w:val="14"/>
                <w:szCs w:val="14"/>
              </w:rPr>
              <w:t xml:space="preserve"> DE</w:t>
            </w:r>
            <w:r w:rsidRPr="00095A0D">
              <w:rPr>
                <w:rFonts w:ascii="Century Gothic" w:hAnsi="Century Gothic" w:cs="Calibri"/>
                <w:b/>
                <w:sz w:val="14"/>
                <w:szCs w:val="14"/>
              </w:rPr>
              <w:t xml:space="preserve"> EVALUACIÓN</w:t>
            </w:r>
            <w:r w:rsidR="00B93834" w:rsidRPr="00095A0D">
              <w:rPr>
                <w:rFonts w:ascii="Century Gothic" w:hAnsi="Century Gothic" w:cs="Calibri"/>
                <w:b/>
                <w:sz w:val="14"/>
                <w:szCs w:val="14"/>
              </w:rPr>
              <w:t xml:space="preserve"> SEPARADAS:</w:t>
            </w:r>
          </w:p>
          <w:p w14:paraId="37BEF973" w14:textId="30052B0C" w:rsidR="00A87270" w:rsidRDefault="00FF3193" w:rsidP="00A87270">
            <w:pPr>
              <w:numPr>
                <w:ilvl w:val="0"/>
                <w:numId w:val="2"/>
              </w:numPr>
              <w:spacing w:before="120" w:after="120"/>
              <w:ind w:left="714" w:hanging="357"/>
              <w:contextualSpacing/>
              <w:jc w:val="both"/>
              <w:rPr>
                <w:rFonts w:ascii="Century Gothic" w:hAnsi="Century Gothic" w:cs="Calibri"/>
                <w:sz w:val="14"/>
                <w:szCs w:val="14"/>
              </w:rPr>
            </w:pPr>
            <w:r w:rsidRPr="00095A0D">
              <w:rPr>
                <w:rFonts w:ascii="Century Gothic" w:hAnsi="Century Gothic" w:cs="Calibri"/>
                <w:b/>
                <w:sz w:val="14"/>
                <w:szCs w:val="14"/>
              </w:rPr>
              <w:t>ESTRUCTURA ORGANIZACIONAL</w:t>
            </w:r>
            <w:r w:rsidRPr="00095A0D">
              <w:rPr>
                <w:rFonts w:ascii="Century Gothic" w:hAnsi="Century Gothic" w:cs="Calibri"/>
                <w:sz w:val="14"/>
                <w:szCs w:val="14"/>
              </w:rPr>
              <w:t>: Desarrollo e i</w:t>
            </w:r>
            <w:r w:rsidR="00095A0D" w:rsidRPr="00095A0D">
              <w:rPr>
                <w:rFonts w:ascii="Century Gothic" w:hAnsi="Century Gothic" w:cs="Calibri"/>
                <w:sz w:val="14"/>
                <w:szCs w:val="14"/>
              </w:rPr>
              <w:t>mplementación de herramientas y</w:t>
            </w:r>
            <w:r w:rsidRPr="00095A0D">
              <w:rPr>
                <w:rFonts w:ascii="Century Gothic" w:hAnsi="Century Gothic" w:cs="Calibri"/>
                <w:sz w:val="14"/>
                <w:szCs w:val="14"/>
              </w:rPr>
              <w:t xml:space="preserve"> </w:t>
            </w:r>
            <w:r w:rsidR="00B320A5">
              <w:rPr>
                <w:rFonts w:ascii="Century Gothic" w:hAnsi="Century Gothic" w:cs="Calibri"/>
                <w:sz w:val="14"/>
                <w:szCs w:val="14"/>
              </w:rPr>
              <w:t>acciones</w:t>
            </w:r>
            <w:r w:rsidRPr="00095A0D">
              <w:rPr>
                <w:rFonts w:ascii="Century Gothic" w:hAnsi="Century Gothic" w:cs="Calibri"/>
                <w:sz w:val="14"/>
                <w:szCs w:val="14"/>
              </w:rPr>
              <w:t xml:space="preserve"> para fortalecer los arreglos organizacionales, la gobernanza</w:t>
            </w:r>
            <w:r w:rsidR="009A0775">
              <w:rPr>
                <w:rFonts w:ascii="Century Gothic" w:hAnsi="Century Gothic" w:cs="Calibri"/>
                <w:sz w:val="14"/>
                <w:szCs w:val="14"/>
              </w:rPr>
              <w:t>, la gestión</w:t>
            </w:r>
            <w:r w:rsidRPr="009A0775">
              <w:rPr>
                <w:rFonts w:ascii="Century Gothic" w:hAnsi="Century Gothic" w:cs="Calibri"/>
                <w:sz w:val="14"/>
                <w:szCs w:val="14"/>
              </w:rPr>
              <w:t xml:space="preserve"> y la sostenibilidad. </w:t>
            </w:r>
          </w:p>
          <w:p w14:paraId="1A125580" w14:textId="359BDECC" w:rsidR="008C617A" w:rsidRPr="00A87270" w:rsidRDefault="00C90F3D" w:rsidP="00A87270">
            <w:pPr>
              <w:numPr>
                <w:ilvl w:val="0"/>
                <w:numId w:val="2"/>
              </w:numPr>
              <w:spacing w:before="120" w:after="120"/>
              <w:ind w:left="714" w:hanging="357"/>
              <w:contextualSpacing/>
              <w:jc w:val="both"/>
              <w:rPr>
                <w:rFonts w:ascii="Century Gothic" w:hAnsi="Century Gothic" w:cs="Calibri"/>
                <w:sz w:val="14"/>
                <w:szCs w:val="14"/>
              </w:rPr>
            </w:pPr>
            <w:r w:rsidRPr="00A87270">
              <w:rPr>
                <w:rFonts w:ascii="Century Gothic" w:hAnsi="Century Gothic" w:cs="Calibri"/>
                <w:b/>
                <w:sz w:val="14"/>
                <w:szCs w:val="14"/>
              </w:rPr>
              <w:t>COMUNICACIÓN EFECTIVA</w:t>
            </w:r>
            <w:r w:rsidRPr="00A87270">
              <w:rPr>
                <w:rFonts w:ascii="Century Gothic" w:hAnsi="Century Gothic" w:cs="Calibri"/>
                <w:sz w:val="14"/>
                <w:szCs w:val="14"/>
              </w:rPr>
              <w:t xml:space="preserve">: </w:t>
            </w:r>
            <w:r w:rsidR="00A87270" w:rsidRPr="00A87270">
              <w:rPr>
                <w:rFonts w:ascii="Century Gothic" w:hAnsi="Century Gothic" w:cs="Calibri"/>
                <w:sz w:val="14"/>
                <w:szCs w:val="14"/>
              </w:rPr>
              <w:t>Desarrollo de capacidades de comunicación a nivel organizacional e implementación de una estrategia de comunicación de las actividades y resultados de investigación, y propuestas de política pública.</w:t>
            </w:r>
          </w:p>
          <w:p w14:paraId="7CDEB62D" w14:textId="7EDA5C42" w:rsidR="00C90F3D" w:rsidRPr="008C617A" w:rsidRDefault="00F97B11" w:rsidP="008C617A">
            <w:pPr>
              <w:numPr>
                <w:ilvl w:val="0"/>
                <w:numId w:val="2"/>
              </w:numPr>
              <w:spacing w:before="120" w:after="120"/>
              <w:ind w:left="714" w:hanging="357"/>
              <w:contextualSpacing/>
              <w:jc w:val="both"/>
              <w:rPr>
                <w:rFonts w:ascii="Century Gothic" w:hAnsi="Century Gothic" w:cs="Calibri"/>
                <w:sz w:val="14"/>
                <w:szCs w:val="14"/>
              </w:rPr>
            </w:pPr>
            <w:r w:rsidRPr="008C617A">
              <w:rPr>
                <w:rFonts w:ascii="Century Gothic" w:hAnsi="Century Gothic" w:cs="Calibri"/>
                <w:b/>
                <w:sz w:val="14"/>
                <w:szCs w:val="14"/>
              </w:rPr>
              <w:t xml:space="preserve">AGENDA DE </w:t>
            </w:r>
            <w:r w:rsidR="00C90F3D" w:rsidRPr="008C617A">
              <w:rPr>
                <w:rFonts w:ascii="Century Gothic" w:hAnsi="Century Gothic" w:cs="Calibri"/>
                <w:b/>
                <w:sz w:val="14"/>
                <w:szCs w:val="14"/>
              </w:rPr>
              <w:t>INVESTIGACIÓN</w:t>
            </w:r>
            <w:r w:rsidR="00C90F3D" w:rsidRPr="008C617A">
              <w:rPr>
                <w:rFonts w:ascii="Century Gothic" w:hAnsi="Century Gothic" w:cs="Calibri"/>
                <w:sz w:val="14"/>
                <w:szCs w:val="14"/>
              </w:rPr>
              <w:t xml:space="preserve">: </w:t>
            </w:r>
            <w:r w:rsidR="001C7F7A" w:rsidRPr="008C617A">
              <w:rPr>
                <w:rFonts w:ascii="Century Gothic" w:hAnsi="Century Gothic" w:cs="Calibri"/>
                <w:sz w:val="14"/>
                <w:szCs w:val="14"/>
              </w:rPr>
              <w:t>Desarrollo de una estrategia y una agenda de investigación orientada a problemáticas de política pública.</w:t>
            </w:r>
          </w:p>
        </w:tc>
      </w:tr>
      <w:tr w:rsidR="00F97B11" w:rsidRPr="006F54FC" w14:paraId="154F9A08" w14:textId="77777777" w:rsidTr="00F97B11">
        <w:trPr>
          <w:trHeight w:val="1127"/>
          <w:jc w:val="center"/>
        </w:trPr>
        <w:tc>
          <w:tcPr>
            <w:tcW w:w="5517" w:type="dxa"/>
            <w:shd w:val="clear" w:color="auto" w:fill="auto"/>
          </w:tcPr>
          <w:p w14:paraId="1E9F0763" w14:textId="427DD498" w:rsidR="00F97B11" w:rsidRPr="006F54FC" w:rsidRDefault="00F97B11" w:rsidP="00995023">
            <w:pPr>
              <w:spacing w:before="120" w:after="120"/>
              <w:rPr>
                <w:rFonts w:ascii="Century Gothic" w:hAnsi="Century Gothic" w:cs="Calibri"/>
                <w:sz w:val="14"/>
                <w:szCs w:val="14"/>
              </w:rPr>
            </w:pPr>
            <w:r w:rsidRPr="006F54FC">
              <w:rPr>
                <w:rFonts w:ascii="Century Gothic" w:hAnsi="Century Gothic" w:cs="Calibri"/>
                <w:b/>
                <w:sz w:val="14"/>
                <w:szCs w:val="14"/>
              </w:rPr>
              <w:t xml:space="preserve">ÁREAS TEMÁTICAS: </w:t>
            </w:r>
          </w:p>
          <w:p w14:paraId="55EB27FF" w14:textId="77777777" w:rsidR="00F97B11" w:rsidRPr="002C6544" w:rsidRDefault="00F97B11" w:rsidP="00C90F3D">
            <w:pPr>
              <w:numPr>
                <w:ilvl w:val="0"/>
                <w:numId w:val="3"/>
              </w:numPr>
              <w:rPr>
                <w:rFonts w:ascii="Century Gothic" w:hAnsi="Century Gothic" w:cs="Calibri"/>
                <w:sz w:val="14"/>
                <w:szCs w:val="14"/>
              </w:rPr>
            </w:pPr>
            <w:r w:rsidRPr="002C6544">
              <w:rPr>
                <w:rFonts w:ascii="Century Gothic" w:hAnsi="Century Gothic" w:cs="Calibri"/>
                <w:sz w:val="14"/>
                <w:szCs w:val="14"/>
              </w:rPr>
              <w:t>Ciencias sociales y educación</w:t>
            </w:r>
          </w:p>
          <w:p w14:paraId="3C97FC0F" w14:textId="77777777" w:rsidR="00F97B11" w:rsidRPr="002C6544" w:rsidRDefault="00F97B11" w:rsidP="00C90F3D">
            <w:pPr>
              <w:numPr>
                <w:ilvl w:val="0"/>
                <w:numId w:val="3"/>
              </w:numPr>
              <w:rPr>
                <w:rFonts w:ascii="Century Gothic" w:hAnsi="Century Gothic" w:cs="Calibri"/>
                <w:sz w:val="14"/>
                <w:szCs w:val="14"/>
              </w:rPr>
            </w:pPr>
            <w:r w:rsidRPr="002C6544">
              <w:rPr>
                <w:rFonts w:ascii="Century Gothic" w:hAnsi="Century Gothic" w:cs="Calibri"/>
                <w:sz w:val="14"/>
                <w:szCs w:val="14"/>
              </w:rPr>
              <w:t>Ciencias agropecuarias, forestal y acuícola</w:t>
            </w:r>
          </w:p>
          <w:p w14:paraId="0FE7AE16" w14:textId="77777777" w:rsidR="00F97B11" w:rsidRPr="002C6544" w:rsidRDefault="00F97B11" w:rsidP="00C90F3D">
            <w:pPr>
              <w:numPr>
                <w:ilvl w:val="0"/>
                <w:numId w:val="3"/>
              </w:numPr>
              <w:rPr>
                <w:rFonts w:ascii="Century Gothic" w:hAnsi="Century Gothic" w:cs="Calibri"/>
                <w:sz w:val="14"/>
                <w:szCs w:val="14"/>
              </w:rPr>
            </w:pPr>
            <w:r w:rsidRPr="002C6544">
              <w:rPr>
                <w:rFonts w:ascii="Century Gothic" w:hAnsi="Century Gothic" w:cs="Calibri"/>
                <w:sz w:val="14"/>
                <w:szCs w:val="14"/>
              </w:rPr>
              <w:t>Ciencias de la salud</w:t>
            </w:r>
          </w:p>
          <w:p w14:paraId="3D8903DE" w14:textId="77777777" w:rsidR="00FE1E59" w:rsidRPr="002C6544" w:rsidRDefault="00FE1E59" w:rsidP="00C90F3D">
            <w:pPr>
              <w:numPr>
                <w:ilvl w:val="0"/>
                <w:numId w:val="3"/>
              </w:numPr>
              <w:rPr>
                <w:rFonts w:ascii="Century Gothic" w:hAnsi="Century Gothic" w:cs="Calibri"/>
                <w:sz w:val="14"/>
                <w:szCs w:val="14"/>
              </w:rPr>
            </w:pPr>
            <w:r w:rsidRPr="002C6544">
              <w:rPr>
                <w:rFonts w:ascii="Century Gothic" w:hAnsi="Century Gothic" w:cs="Calibri"/>
                <w:sz w:val="14"/>
                <w:szCs w:val="14"/>
              </w:rPr>
              <w:t>Ciencias naturales y exactas</w:t>
            </w:r>
          </w:p>
          <w:p w14:paraId="2DADAEBB" w14:textId="388D3C50" w:rsidR="00FE1E59" w:rsidRPr="006066F7" w:rsidRDefault="00FE1E59" w:rsidP="006066F7">
            <w:pPr>
              <w:numPr>
                <w:ilvl w:val="0"/>
                <w:numId w:val="3"/>
              </w:numPr>
              <w:rPr>
                <w:rFonts w:ascii="Century Gothic" w:hAnsi="Century Gothic" w:cs="Calibri"/>
                <w:sz w:val="14"/>
                <w:szCs w:val="14"/>
              </w:rPr>
            </w:pPr>
            <w:r w:rsidRPr="002C6544">
              <w:rPr>
                <w:rFonts w:ascii="Century Gothic" w:hAnsi="Century Gothic" w:cs="Calibri"/>
                <w:sz w:val="14"/>
                <w:szCs w:val="14"/>
              </w:rPr>
              <w:t>Biodiversidad y ecología</w:t>
            </w:r>
          </w:p>
        </w:tc>
        <w:tc>
          <w:tcPr>
            <w:tcW w:w="5518" w:type="dxa"/>
            <w:shd w:val="clear" w:color="auto" w:fill="auto"/>
          </w:tcPr>
          <w:p w14:paraId="0ADE625A" w14:textId="77777777" w:rsidR="00FE1E59" w:rsidRDefault="00FE1E59" w:rsidP="00F97B11">
            <w:pPr>
              <w:ind w:left="720"/>
              <w:rPr>
                <w:rFonts w:ascii="Century Gothic" w:hAnsi="Century Gothic" w:cs="Calibri"/>
                <w:b/>
                <w:sz w:val="14"/>
                <w:szCs w:val="14"/>
              </w:rPr>
            </w:pPr>
          </w:p>
          <w:p w14:paraId="3740BFAB" w14:textId="77777777" w:rsidR="00F97B11" w:rsidRPr="002C6544" w:rsidRDefault="00F97B11" w:rsidP="00C90F3D">
            <w:pPr>
              <w:numPr>
                <w:ilvl w:val="0"/>
                <w:numId w:val="3"/>
              </w:numPr>
              <w:rPr>
                <w:rFonts w:ascii="Century Gothic" w:hAnsi="Century Gothic" w:cs="Calibri"/>
                <w:sz w:val="14"/>
                <w:szCs w:val="14"/>
              </w:rPr>
            </w:pPr>
            <w:r w:rsidRPr="002C6544">
              <w:rPr>
                <w:rFonts w:ascii="Century Gothic" w:hAnsi="Century Gothic" w:cs="Calibri"/>
                <w:sz w:val="14"/>
                <w:szCs w:val="14"/>
              </w:rPr>
              <w:t>Logística y transporte</w:t>
            </w:r>
          </w:p>
          <w:p w14:paraId="45B81B22" w14:textId="77777777" w:rsidR="00FE1E59" w:rsidRPr="002C6544" w:rsidRDefault="00FE1E59" w:rsidP="00FE1E59">
            <w:pPr>
              <w:numPr>
                <w:ilvl w:val="0"/>
                <w:numId w:val="3"/>
              </w:numPr>
              <w:rPr>
                <w:rFonts w:ascii="Century Gothic" w:hAnsi="Century Gothic" w:cs="Calibri"/>
                <w:sz w:val="14"/>
                <w:szCs w:val="14"/>
              </w:rPr>
            </w:pPr>
            <w:r w:rsidRPr="002C6544">
              <w:rPr>
                <w:rFonts w:ascii="Century Gothic" w:hAnsi="Century Gothic" w:cs="Calibri"/>
                <w:sz w:val="14"/>
                <w:szCs w:val="14"/>
              </w:rPr>
              <w:t>Tecnologías de la Información y Comunicaciones</w:t>
            </w:r>
          </w:p>
          <w:p w14:paraId="0457BF09" w14:textId="77777777" w:rsidR="00FE1E59" w:rsidRPr="002C6544" w:rsidRDefault="00FE1E59" w:rsidP="00FE1E59">
            <w:pPr>
              <w:numPr>
                <w:ilvl w:val="0"/>
                <w:numId w:val="3"/>
              </w:numPr>
              <w:rPr>
                <w:rFonts w:ascii="Century Gothic" w:hAnsi="Century Gothic" w:cs="Calibri"/>
                <w:sz w:val="14"/>
                <w:szCs w:val="14"/>
              </w:rPr>
            </w:pPr>
            <w:r w:rsidRPr="002C6544">
              <w:rPr>
                <w:rFonts w:ascii="Century Gothic" w:hAnsi="Century Gothic" w:cs="Calibri"/>
                <w:sz w:val="14"/>
                <w:szCs w:val="14"/>
              </w:rPr>
              <w:t>Ingenierías y tecnologías</w:t>
            </w:r>
          </w:p>
          <w:p w14:paraId="4A05E68D" w14:textId="738E4D45" w:rsidR="00F97B11" w:rsidRPr="002C6544" w:rsidRDefault="00713D9A" w:rsidP="007860AD">
            <w:pPr>
              <w:numPr>
                <w:ilvl w:val="0"/>
                <w:numId w:val="3"/>
              </w:numPr>
              <w:rPr>
                <w:rFonts w:ascii="Century Gothic" w:hAnsi="Century Gothic" w:cs="Calibri"/>
                <w:sz w:val="14"/>
                <w:szCs w:val="14"/>
              </w:rPr>
            </w:pPr>
            <w:r w:rsidRPr="002C6544">
              <w:rPr>
                <w:rFonts w:ascii="Century Gothic" w:hAnsi="Century Gothic" w:cs="Calibri"/>
                <w:sz w:val="14"/>
                <w:szCs w:val="14"/>
              </w:rPr>
              <w:t>Industria</w:t>
            </w:r>
          </w:p>
          <w:p w14:paraId="5F6A8A7C" w14:textId="37D6D9D8" w:rsidR="00F97B11" w:rsidRPr="007860AD" w:rsidRDefault="00F97B11" w:rsidP="00FE1E59">
            <w:pPr>
              <w:ind w:left="720"/>
              <w:rPr>
                <w:rFonts w:ascii="Century Gothic" w:hAnsi="Century Gothic" w:cs="Calibri"/>
                <w:b/>
                <w:sz w:val="14"/>
                <w:szCs w:val="14"/>
              </w:rPr>
            </w:pPr>
          </w:p>
        </w:tc>
      </w:tr>
      <w:tr w:rsidR="006169D9" w:rsidRPr="006F54FC" w14:paraId="1268F349" w14:textId="77777777" w:rsidTr="000614E3">
        <w:trPr>
          <w:trHeight w:val="284"/>
          <w:jc w:val="center"/>
        </w:trPr>
        <w:tc>
          <w:tcPr>
            <w:tcW w:w="11035" w:type="dxa"/>
            <w:gridSpan w:val="2"/>
            <w:shd w:val="clear" w:color="auto" w:fill="17365D"/>
          </w:tcPr>
          <w:p w14:paraId="014D6D5B" w14:textId="6C6C5D59" w:rsidR="006169D9" w:rsidRPr="006F54FC" w:rsidRDefault="006169D9" w:rsidP="000614E3">
            <w:pPr>
              <w:spacing w:before="120" w:after="120"/>
              <w:jc w:val="center"/>
              <w:rPr>
                <w:rFonts w:ascii="Century Gothic" w:hAnsi="Century Gothic" w:cs="Calibri"/>
                <w:b/>
                <w:sz w:val="14"/>
                <w:szCs w:val="14"/>
              </w:rPr>
            </w:pPr>
            <w:r>
              <w:rPr>
                <w:rFonts w:ascii="Century Gothic" w:hAnsi="Century Gothic" w:cs="Calibri"/>
                <w:b/>
                <w:sz w:val="14"/>
                <w:szCs w:val="14"/>
              </w:rPr>
              <w:t>MONTOS</w:t>
            </w:r>
          </w:p>
        </w:tc>
      </w:tr>
      <w:tr w:rsidR="006169D9" w:rsidRPr="006F54FC" w14:paraId="3E8CEBF3" w14:textId="77777777" w:rsidTr="00042B08">
        <w:trPr>
          <w:trHeight w:val="1489"/>
          <w:jc w:val="center"/>
        </w:trPr>
        <w:tc>
          <w:tcPr>
            <w:tcW w:w="11035" w:type="dxa"/>
            <w:gridSpan w:val="2"/>
            <w:shd w:val="clear" w:color="auto" w:fill="auto"/>
          </w:tcPr>
          <w:p w14:paraId="2B989F0A" w14:textId="74B4088D" w:rsidR="006169D9" w:rsidRPr="006169D9" w:rsidRDefault="006169D9" w:rsidP="006169D9">
            <w:pPr>
              <w:pStyle w:val="Prrafodelista"/>
              <w:numPr>
                <w:ilvl w:val="0"/>
                <w:numId w:val="15"/>
              </w:numPr>
              <w:autoSpaceDE w:val="0"/>
              <w:autoSpaceDN w:val="0"/>
              <w:adjustRightInd w:val="0"/>
              <w:spacing w:before="120" w:after="120"/>
              <w:jc w:val="both"/>
              <w:rPr>
                <w:rFonts w:ascii="Century Gothic" w:hAnsi="Century Gothic" w:cs="Calibri"/>
                <w:sz w:val="14"/>
                <w:szCs w:val="14"/>
              </w:rPr>
            </w:pPr>
            <w:r w:rsidRPr="006169D9">
              <w:rPr>
                <w:rFonts w:ascii="Century Gothic" w:hAnsi="Century Gothic" w:cs="Calibri"/>
                <w:sz w:val="14"/>
                <w:szCs w:val="14"/>
              </w:rPr>
              <w:t xml:space="preserve">Financiamiento de hasta 80% del costo total de la propuesta, </w:t>
            </w:r>
            <w:r w:rsidRPr="006169D9">
              <w:rPr>
                <w:rFonts w:ascii="Century Gothic" w:hAnsi="Century Gothic" w:cs="Calibri"/>
                <w:b/>
                <w:sz w:val="14"/>
                <w:szCs w:val="14"/>
              </w:rPr>
              <w:t>hasta un máximo de noventa mil balboas (B</w:t>
            </w:r>
            <w:proofErr w:type="gramStart"/>
            <w:r w:rsidRPr="006169D9">
              <w:rPr>
                <w:rFonts w:ascii="Century Gothic" w:hAnsi="Century Gothic" w:cs="Calibri"/>
                <w:b/>
                <w:sz w:val="14"/>
                <w:szCs w:val="14"/>
              </w:rPr>
              <w:t>/.90,000.00</w:t>
            </w:r>
            <w:proofErr w:type="gramEnd"/>
            <w:r w:rsidRPr="006169D9">
              <w:rPr>
                <w:rFonts w:ascii="Century Gothic" w:hAnsi="Century Gothic" w:cs="Calibri"/>
                <w:b/>
                <w:sz w:val="14"/>
                <w:szCs w:val="14"/>
              </w:rPr>
              <w:t>)</w:t>
            </w:r>
            <w:r w:rsidRPr="006169D9">
              <w:rPr>
                <w:rFonts w:ascii="Century Gothic" w:hAnsi="Century Gothic" w:cs="Calibri"/>
                <w:sz w:val="14"/>
                <w:szCs w:val="14"/>
              </w:rPr>
              <w:t xml:space="preserve">. </w:t>
            </w:r>
          </w:p>
          <w:p w14:paraId="0680FC41" w14:textId="77777777" w:rsidR="006169D9" w:rsidRPr="006169D9" w:rsidRDefault="006169D9" w:rsidP="006169D9">
            <w:pPr>
              <w:pStyle w:val="Prrafodelista"/>
              <w:numPr>
                <w:ilvl w:val="0"/>
                <w:numId w:val="15"/>
              </w:numPr>
              <w:autoSpaceDE w:val="0"/>
              <w:autoSpaceDN w:val="0"/>
              <w:adjustRightInd w:val="0"/>
              <w:spacing w:before="120" w:after="120"/>
              <w:jc w:val="both"/>
              <w:rPr>
                <w:rFonts w:ascii="Century Gothic" w:hAnsi="Century Gothic" w:cs="Calibri"/>
                <w:sz w:val="14"/>
                <w:szCs w:val="14"/>
              </w:rPr>
            </w:pPr>
            <w:r w:rsidRPr="006169D9">
              <w:rPr>
                <w:rFonts w:ascii="Century Gothic" w:hAnsi="Century Gothic" w:cs="Calibri"/>
                <w:sz w:val="14"/>
                <w:szCs w:val="14"/>
              </w:rPr>
              <w:t xml:space="preserve">Las proponentes deben </w:t>
            </w:r>
            <w:proofErr w:type="spellStart"/>
            <w:r w:rsidRPr="006169D9">
              <w:rPr>
                <w:rFonts w:ascii="Century Gothic" w:hAnsi="Century Gothic" w:cs="Calibri"/>
                <w:sz w:val="14"/>
                <w:szCs w:val="14"/>
              </w:rPr>
              <w:t>co</w:t>
            </w:r>
            <w:proofErr w:type="spellEnd"/>
            <w:r w:rsidRPr="006169D9">
              <w:rPr>
                <w:rFonts w:ascii="Century Gothic" w:hAnsi="Century Gothic" w:cs="Calibri"/>
                <w:sz w:val="14"/>
                <w:szCs w:val="14"/>
              </w:rPr>
              <w:t xml:space="preserve">-financiar al menos 20% del costo total de la propuesta (en especie o en efectivo), orientado a dar sostenibilidad. </w:t>
            </w:r>
          </w:p>
          <w:p w14:paraId="2131DBC7" w14:textId="5D16884D" w:rsidR="006169D9" w:rsidRDefault="006169D9" w:rsidP="006169D9">
            <w:pPr>
              <w:spacing w:before="120"/>
              <w:jc w:val="both"/>
              <w:rPr>
                <w:rFonts w:ascii="Century Gothic" w:hAnsi="Century Gothic" w:cs="Calibri"/>
                <w:b/>
                <w:sz w:val="14"/>
                <w:szCs w:val="14"/>
              </w:rPr>
            </w:pPr>
            <w:r>
              <w:rPr>
                <w:rFonts w:ascii="Century Gothic" w:hAnsi="Century Gothic" w:cs="Calibri"/>
                <w:b/>
                <w:sz w:val="14"/>
                <w:szCs w:val="14"/>
              </w:rPr>
              <w:t>Objetos de gasto permisibles</w:t>
            </w:r>
          </w:p>
          <w:p w14:paraId="6471789A" w14:textId="77777777" w:rsidR="006A0D06" w:rsidRDefault="006060AD" w:rsidP="006169D9">
            <w:pPr>
              <w:pStyle w:val="Prrafodelista"/>
              <w:numPr>
                <w:ilvl w:val="0"/>
                <w:numId w:val="16"/>
              </w:numPr>
              <w:jc w:val="both"/>
              <w:rPr>
                <w:rFonts w:ascii="Century Gothic" w:hAnsi="Century Gothic" w:cs="Calibri"/>
                <w:sz w:val="14"/>
                <w:szCs w:val="14"/>
              </w:rPr>
            </w:pPr>
            <w:r w:rsidRPr="006060AD">
              <w:rPr>
                <w:rFonts w:ascii="Century Gothic" w:hAnsi="Century Gothic" w:cs="Calibri"/>
                <w:sz w:val="14"/>
                <w:szCs w:val="14"/>
              </w:rPr>
              <w:t>Aplican todos los rubros de gastos contemplados en el Artículo 49 del Reglamento de Contrataciones por Mérito de la SENACYT (Resolución 191 de 31 de julio de 201</w:t>
            </w:r>
            <w:r w:rsidR="00F71F3F">
              <w:rPr>
                <w:rFonts w:ascii="Century Gothic" w:hAnsi="Century Gothic" w:cs="Calibri"/>
                <w:sz w:val="14"/>
                <w:szCs w:val="14"/>
              </w:rPr>
              <w:t xml:space="preserve">7), excepto los numerales 2, 3, 5, </w:t>
            </w:r>
            <w:r w:rsidRPr="006060AD">
              <w:rPr>
                <w:rFonts w:ascii="Century Gothic" w:hAnsi="Century Gothic" w:cs="Calibri"/>
                <w:sz w:val="14"/>
                <w:szCs w:val="14"/>
              </w:rPr>
              <w:t>6, 7, 8, 9, 10, 15</w:t>
            </w:r>
            <w:r>
              <w:rPr>
                <w:rFonts w:ascii="Century Gothic" w:hAnsi="Century Gothic" w:cs="Calibri"/>
                <w:sz w:val="14"/>
                <w:szCs w:val="14"/>
              </w:rPr>
              <w:t xml:space="preserve"> y 16, disponible en el sitio web de la SENACYT (</w:t>
            </w:r>
            <w:hyperlink r:id="rId8" w:history="1">
              <w:r w:rsidRPr="0005325E">
                <w:rPr>
                  <w:rStyle w:val="Hipervnculo"/>
                  <w:rFonts w:ascii="Century Gothic" w:hAnsi="Century Gothic" w:cs="Calibri"/>
                  <w:sz w:val="14"/>
                  <w:szCs w:val="14"/>
                </w:rPr>
                <w:t>http://www.senacyt.gob.pa/wp-content/uploads/2017/10/Gaceta-Oficial-Digital-RA191.pdf</w:t>
              </w:r>
            </w:hyperlink>
            <w:r>
              <w:rPr>
                <w:rFonts w:ascii="Century Gothic" w:hAnsi="Century Gothic" w:cs="Calibri"/>
                <w:sz w:val="14"/>
                <w:szCs w:val="14"/>
              </w:rPr>
              <w:t>).</w:t>
            </w:r>
            <w:r w:rsidR="006A0D06">
              <w:rPr>
                <w:rFonts w:ascii="Century Gothic" w:hAnsi="Century Gothic" w:cs="Calibri"/>
                <w:sz w:val="14"/>
                <w:szCs w:val="14"/>
              </w:rPr>
              <w:t xml:space="preserve"> </w:t>
            </w:r>
          </w:p>
          <w:p w14:paraId="541D04CE" w14:textId="5F8E43C5" w:rsidR="006060AD" w:rsidRDefault="006A0D06" w:rsidP="006169D9">
            <w:pPr>
              <w:pStyle w:val="Prrafodelista"/>
              <w:numPr>
                <w:ilvl w:val="0"/>
                <w:numId w:val="16"/>
              </w:numPr>
              <w:jc w:val="both"/>
              <w:rPr>
                <w:rFonts w:ascii="Century Gothic" w:hAnsi="Century Gothic" w:cs="Calibri"/>
                <w:sz w:val="14"/>
                <w:szCs w:val="14"/>
              </w:rPr>
            </w:pPr>
            <w:r>
              <w:rPr>
                <w:rFonts w:ascii="Century Gothic" w:hAnsi="Century Gothic" w:cs="Calibri"/>
                <w:sz w:val="14"/>
                <w:szCs w:val="14"/>
              </w:rPr>
              <w:t>Dentro del rubro de gasto 21 deberá incluirse el gasto de la visita de estudio y/o de pares externos.</w:t>
            </w:r>
          </w:p>
          <w:p w14:paraId="70F7032B" w14:textId="7539EE9C" w:rsidR="006169D9" w:rsidRPr="006060AD" w:rsidRDefault="006169D9" w:rsidP="006169D9">
            <w:pPr>
              <w:pStyle w:val="Prrafodelista"/>
              <w:numPr>
                <w:ilvl w:val="0"/>
                <w:numId w:val="16"/>
              </w:numPr>
              <w:jc w:val="both"/>
              <w:rPr>
                <w:rFonts w:ascii="Century Gothic" w:hAnsi="Century Gothic" w:cs="Calibri"/>
                <w:sz w:val="14"/>
                <w:szCs w:val="14"/>
              </w:rPr>
            </w:pPr>
            <w:r w:rsidRPr="006060AD">
              <w:rPr>
                <w:rFonts w:ascii="Century Gothic" w:hAnsi="Century Gothic" w:cs="Calibri"/>
                <w:sz w:val="14"/>
                <w:szCs w:val="14"/>
              </w:rPr>
              <w:t xml:space="preserve">Los gastos administrativos se cubrirán </w:t>
            </w:r>
            <w:r w:rsidR="006060AD">
              <w:rPr>
                <w:rFonts w:ascii="Century Gothic" w:hAnsi="Century Gothic" w:cs="Calibri"/>
                <w:sz w:val="14"/>
                <w:szCs w:val="14"/>
              </w:rPr>
              <w:t>hasta un máximo del 10% del presupuesto total solicitado por el proponente.</w:t>
            </w:r>
          </w:p>
          <w:p w14:paraId="741AADDD" w14:textId="6FD78A62" w:rsidR="006169D9" w:rsidRPr="00491E07" w:rsidRDefault="006169D9" w:rsidP="006169D9">
            <w:pPr>
              <w:jc w:val="both"/>
              <w:rPr>
                <w:rFonts w:ascii="Century Gothic" w:hAnsi="Century Gothic" w:cs="Calibri"/>
                <w:sz w:val="14"/>
                <w:szCs w:val="14"/>
              </w:rPr>
            </w:pPr>
          </w:p>
        </w:tc>
      </w:tr>
      <w:tr w:rsidR="006169D9" w:rsidRPr="006F54FC" w14:paraId="25104E90" w14:textId="77777777" w:rsidTr="00042B08">
        <w:trPr>
          <w:trHeight w:val="388"/>
          <w:jc w:val="center"/>
        </w:trPr>
        <w:tc>
          <w:tcPr>
            <w:tcW w:w="11035" w:type="dxa"/>
            <w:gridSpan w:val="2"/>
            <w:shd w:val="clear" w:color="auto" w:fill="17365D"/>
            <w:vAlign w:val="center"/>
          </w:tcPr>
          <w:p w14:paraId="2FB099FD" w14:textId="77777777" w:rsidR="006169D9" w:rsidRPr="006F54FC" w:rsidRDefault="006169D9" w:rsidP="006169D9">
            <w:pPr>
              <w:spacing w:before="120" w:after="120"/>
              <w:jc w:val="center"/>
              <w:rPr>
                <w:rFonts w:ascii="Century Gothic" w:hAnsi="Century Gothic" w:cs="Calibri"/>
                <w:b/>
                <w:sz w:val="14"/>
                <w:szCs w:val="14"/>
              </w:rPr>
            </w:pPr>
            <w:r w:rsidRPr="006F54FC">
              <w:rPr>
                <w:rFonts w:ascii="Century Gothic" w:hAnsi="Century Gothic" w:cs="Calibri"/>
                <w:b/>
                <w:color w:val="FFFFFF"/>
                <w:sz w:val="14"/>
                <w:szCs w:val="14"/>
              </w:rPr>
              <w:t>FECHA Y PLAZOS DE PRESENTACIÓN</w:t>
            </w:r>
          </w:p>
        </w:tc>
      </w:tr>
      <w:tr w:rsidR="006169D9" w:rsidRPr="006F54FC" w14:paraId="68F27922" w14:textId="77777777" w:rsidTr="00042B08">
        <w:trPr>
          <w:trHeight w:val="65"/>
          <w:jc w:val="center"/>
        </w:trPr>
        <w:tc>
          <w:tcPr>
            <w:tcW w:w="11035" w:type="dxa"/>
            <w:gridSpan w:val="2"/>
            <w:shd w:val="clear" w:color="auto" w:fill="auto"/>
          </w:tcPr>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387"/>
            </w:tblGrid>
            <w:tr w:rsidR="006169D9" w14:paraId="3C5A219A" w14:textId="77777777" w:rsidTr="006D53BB">
              <w:tc>
                <w:tcPr>
                  <w:tcW w:w="3827" w:type="dxa"/>
                </w:tcPr>
                <w:p w14:paraId="01CD80D5" w14:textId="440D2C35" w:rsidR="006169D9" w:rsidRDefault="006169D9" w:rsidP="006169D9">
                  <w:pPr>
                    <w:spacing w:line="360" w:lineRule="auto"/>
                    <w:rPr>
                      <w:rFonts w:ascii="Century Gothic" w:hAnsi="Century Gothic" w:cs="Calibri"/>
                      <w:b/>
                      <w:sz w:val="14"/>
                      <w:szCs w:val="14"/>
                    </w:rPr>
                  </w:pPr>
                  <w:r w:rsidRPr="001F15B8">
                    <w:rPr>
                      <w:rFonts w:ascii="Century Gothic" w:hAnsi="Century Gothic" w:cs="Calibri"/>
                      <w:b/>
                      <w:sz w:val="14"/>
                      <w:szCs w:val="14"/>
                    </w:rPr>
                    <w:t>FECHA DE APERTURA DE LA CONVOCATOR</w:t>
                  </w:r>
                  <w:r>
                    <w:rPr>
                      <w:rFonts w:ascii="Century Gothic" w:hAnsi="Century Gothic" w:cs="Calibri"/>
                      <w:b/>
                      <w:sz w:val="14"/>
                      <w:szCs w:val="14"/>
                    </w:rPr>
                    <w:t>IA:</w:t>
                  </w:r>
                </w:p>
              </w:tc>
              <w:tc>
                <w:tcPr>
                  <w:tcW w:w="5387" w:type="dxa"/>
                </w:tcPr>
                <w:p w14:paraId="43D42347" w14:textId="7A9C3758" w:rsidR="006169D9" w:rsidRDefault="006169D9" w:rsidP="006169D9">
                  <w:pPr>
                    <w:spacing w:line="360" w:lineRule="auto"/>
                    <w:rPr>
                      <w:rFonts w:ascii="Century Gothic" w:hAnsi="Century Gothic" w:cs="Calibri"/>
                      <w:b/>
                      <w:sz w:val="14"/>
                      <w:szCs w:val="14"/>
                    </w:rPr>
                  </w:pPr>
                  <w:r>
                    <w:rPr>
                      <w:rFonts w:ascii="Century Gothic" w:hAnsi="Century Gothic" w:cs="Calibri"/>
                      <w:b/>
                      <w:sz w:val="14"/>
                      <w:szCs w:val="14"/>
                    </w:rPr>
                    <w:t>4</w:t>
                  </w:r>
                  <w:r w:rsidRPr="001F15B8">
                    <w:rPr>
                      <w:rFonts w:ascii="Century Gothic" w:hAnsi="Century Gothic" w:cs="Calibri"/>
                      <w:b/>
                      <w:sz w:val="14"/>
                      <w:szCs w:val="14"/>
                    </w:rPr>
                    <w:t xml:space="preserve"> DE </w:t>
                  </w:r>
                  <w:r>
                    <w:rPr>
                      <w:rFonts w:ascii="Century Gothic" w:hAnsi="Century Gothic" w:cs="Calibri"/>
                      <w:b/>
                      <w:sz w:val="14"/>
                      <w:szCs w:val="14"/>
                    </w:rPr>
                    <w:t>ABRIL</w:t>
                  </w:r>
                  <w:r w:rsidRPr="001F15B8">
                    <w:rPr>
                      <w:rFonts w:ascii="Century Gothic" w:hAnsi="Century Gothic" w:cs="Calibri"/>
                      <w:b/>
                      <w:sz w:val="14"/>
                      <w:szCs w:val="14"/>
                    </w:rPr>
                    <w:t xml:space="preserve"> DE 201</w:t>
                  </w:r>
                  <w:r>
                    <w:rPr>
                      <w:rFonts w:ascii="Century Gothic" w:hAnsi="Century Gothic" w:cs="Calibri"/>
                      <w:b/>
                      <w:sz w:val="14"/>
                      <w:szCs w:val="14"/>
                    </w:rPr>
                    <w:t>8</w:t>
                  </w:r>
                </w:p>
              </w:tc>
            </w:tr>
            <w:tr w:rsidR="006169D9" w14:paraId="6F4E3BB1" w14:textId="77777777" w:rsidTr="006D53BB">
              <w:tc>
                <w:tcPr>
                  <w:tcW w:w="3827" w:type="dxa"/>
                </w:tcPr>
                <w:p w14:paraId="68C7F45F" w14:textId="0BFA0969" w:rsidR="006169D9" w:rsidRDefault="006169D9" w:rsidP="006169D9">
                  <w:pPr>
                    <w:spacing w:line="360" w:lineRule="auto"/>
                    <w:rPr>
                      <w:rFonts w:ascii="Century Gothic" w:hAnsi="Century Gothic" w:cs="Calibri"/>
                      <w:b/>
                      <w:sz w:val="14"/>
                      <w:szCs w:val="14"/>
                    </w:rPr>
                  </w:pPr>
                  <w:r w:rsidRPr="00797CC1">
                    <w:rPr>
                      <w:rFonts w:ascii="Century Gothic" w:hAnsi="Century Gothic" w:cs="Calibri"/>
                      <w:b/>
                      <w:sz w:val="14"/>
                      <w:szCs w:val="14"/>
                    </w:rPr>
                    <w:t>PLAZO PARA ENTREGA DE INTE</w:t>
                  </w:r>
                  <w:r>
                    <w:rPr>
                      <w:rFonts w:ascii="Century Gothic" w:hAnsi="Century Gothic" w:cs="Calibri"/>
                      <w:b/>
                      <w:sz w:val="14"/>
                      <w:szCs w:val="14"/>
                    </w:rPr>
                    <w:t>NCIÓN DE PROPUESTA:</w:t>
                  </w:r>
                </w:p>
              </w:tc>
              <w:tc>
                <w:tcPr>
                  <w:tcW w:w="5387" w:type="dxa"/>
                </w:tcPr>
                <w:p w14:paraId="59F6E223" w14:textId="6F6873EE" w:rsidR="006169D9" w:rsidRDefault="006D53BB" w:rsidP="006D53BB">
                  <w:pPr>
                    <w:spacing w:line="360" w:lineRule="auto"/>
                    <w:rPr>
                      <w:rFonts w:ascii="Century Gothic" w:hAnsi="Century Gothic" w:cs="Calibri"/>
                      <w:b/>
                      <w:sz w:val="14"/>
                      <w:szCs w:val="14"/>
                    </w:rPr>
                  </w:pPr>
                  <w:r>
                    <w:rPr>
                      <w:rFonts w:ascii="Century Gothic" w:hAnsi="Century Gothic" w:cs="Calibri"/>
                      <w:b/>
                      <w:sz w:val="14"/>
                      <w:szCs w:val="14"/>
                    </w:rPr>
                    <w:t>30</w:t>
                  </w:r>
                  <w:r w:rsidR="006169D9" w:rsidRPr="00797CC1">
                    <w:rPr>
                      <w:rFonts w:ascii="Century Gothic" w:hAnsi="Century Gothic" w:cs="Calibri"/>
                      <w:b/>
                      <w:sz w:val="14"/>
                      <w:szCs w:val="14"/>
                    </w:rPr>
                    <w:t xml:space="preserve"> DE A</w:t>
                  </w:r>
                  <w:r>
                    <w:rPr>
                      <w:rFonts w:ascii="Century Gothic" w:hAnsi="Century Gothic" w:cs="Calibri"/>
                      <w:b/>
                      <w:sz w:val="14"/>
                      <w:szCs w:val="14"/>
                    </w:rPr>
                    <w:t>BRIL</w:t>
                  </w:r>
                  <w:r w:rsidR="006169D9" w:rsidRPr="00797CC1">
                    <w:rPr>
                      <w:rFonts w:ascii="Century Gothic" w:hAnsi="Century Gothic" w:cs="Calibri"/>
                      <w:b/>
                      <w:sz w:val="14"/>
                      <w:szCs w:val="14"/>
                    </w:rPr>
                    <w:t xml:space="preserve"> DE 201</w:t>
                  </w:r>
                  <w:r>
                    <w:rPr>
                      <w:rFonts w:ascii="Century Gothic" w:hAnsi="Century Gothic" w:cs="Calibri"/>
                      <w:b/>
                      <w:sz w:val="14"/>
                      <w:szCs w:val="14"/>
                    </w:rPr>
                    <w:t>8</w:t>
                  </w:r>
                  <w:r w:rsidR="006169D9" w:rsidRPr="00797CC1">
                    <w:rPr>
                      <w:rFonts w:ascii="Century Gothic" w:hAnsi="Century Gothic" w:cs="Calibri"/>
                      <w:b/>
                      <w:sz w:val="14"/>
                      <w:szCs w:val="14"/>
                    </w:rPr>
                    <w:t xml:space="preserve"> (HASTA LAS 3:00 P.M., HORA EXACTA)</w:t>
                  </w:r>
                </w:p>
              </w:tc>
            </w:tr>
            <w:tr w:rsidR="006169D9" w14:paraId="7F9B611C" w14:textId="77777777" w:rsidTr="006D53BB">
              <w:tc>
                <w:tcPr>
                  <w:tcW w:w="3827" w:type="dxa"/>
                </w:tcPr>
                <w:p w14:paraId="2754F37B" w14:textId="565BB7E2" w:rsidR="006169D9" w:rsidRDefault="006169D9" w:rsidP="006169D9">
                  <w:pPr>
                    <w:spacing w:line="360" w:lineRule="auto"/>
                    <w:rPr>
                      <w:rFonts w:ascii="Century Gothic" w:hAnsi="Century Gothic" w:cs="Calibri"/>
                      <w:b/>
                      <w:sz w:val="14"/>
                      <w:szCs w:val="14"/>
                    </w:rPr>
                  </w:pPr>
                  <w:r>
                    <w:rPr>
                      <w:rFonts w:ascii="Century Gothic" w:hAnsi="Century Gothic" w:cs="Calibri"/>
                      <w:b/>
                      <w:sz w:val="14"/>
                      <w:szCs w:val="14"/>
                    </w:rPr>
                    <w:t>SESIÓN DE INDUCCIÓN</w:t>
                  </w:r>
                  <w:r w:rsidRPr="00797CC1">
                    <w:rPr>
                      <w:rFonts w:ascii="Century Gothic" w:hAnsi="Century Gothic" w:cs="Calibri"/>
                      <w:b/>
                      <w:sz w:val="14"/>
                      <w:szCs w:val="14"/>
                    </w:rPr>
                    <w:t xml:space="preserve"> </w:t>
                  </w:r>
                  <w:r>
                    <w:rPr>
                      <w:rFonts w:ascii="Century Gothic" w:hAnsi="Century Gothic" w:cs="Calibri"/>
                      <w:b/>
                      <w:sz w:val="14"/>
                      <w:szCs w:val="14"/>
                    </w:rPr>
                    <w:t xml:space="preserve">(OBLIGATORIO): </w:t>
                  </w:r>
                </w:p>
              </w:tc>
              <w:tc>
                <w:tcPr>
                  <w:tcW w:w="5387" w:type="dxa"/>
                </w:tcPr>
                <w:p w14:paraId="0E6245E6" w14:textId="6BAEC756" w:rsidR="006169D9" w:rsidRDefault="006169D9" w:rsidP="006169D9">
                  <w:pPr>
                    <w:spacing w:line="360" w:lineRule="auto"/>
                    <w:rPr>
                      <w:rFonts w:ascii="Century Gothic" w:hAnsi="Century Gothic" w:cs="Calibri"/>
                      <w:b/>
                      <w:sz w:val="14"/>
                      <w:szCs w:val="14"/>
                    </w:rPr>
                  </w:pPr>
                  <w:r>
                    <w:rPr>
                      <w:rFonts w:ascii="Century Gothic" w:hAnsi="Century Gothic" w:cs="Calibri"/>
                      <w:b/>
                      <w:sz w:val="14"/>
                      <w:szCs w:val="14"/>
                    </w:rPr>
                    <w:t xml:space="preserve">10 </w:t>
                  </w:r>
                  <w:r w:rsidR="006D53BB">
                    <w:rPr>
                      <w:rFonts w:ascii="Century Gothic" w:hAnsi="Century Gothic" w:cs="Calibri"/>
                      <w:b/>
                      <w:sz w:val="14"/>
                      <w:szCs w:val="14"/>
                    </w:rPr>
                    <w:t xml:space="preserve">Y 11 </w:t>
                  </w:r>
                  <w:r>
                    <w:rPr>
                      <w:rFonts w:ascii="Century Gothic" w:hAnsi="Century Gothic" w:cs="Calibri"/>
                      <w:b/>
                      <w:sz w:val="14"/>
                      <w:szCs w:val="14"/>
                    </w:rPr>
                    <w:t>DE MAYO DE 2018</w:t>
                  </w:r>
                  <w:r w:rsidRPr="00797CC1">
                    <w:rPr>
                      <w:rFonts w:ascii="Century Gothic" w:hAnsi="Century Gothic" w:cs="Calibri"/>
                      <w:b/>
                      <w:sz w:val="14"/>
                      <w:szCs w:val="14"/>
                    </w:rPr>
                    <w:t xml:space="preserve"> </w:t>
                  </w:r>
                </w:p>
                <w:p w14:paraId="010D8B08" w14:textId="0A76E600" w:rsidR="006169D9" w:rsidRDefault="006169D9" w:rsidP="006169D9">
                  <w:pPr>
                    <w:spacing w:line="360" w:lineRule="auto"/>
                    <w:rPr>
                      <w:rFonts w:ascii="Century Gothic" w:hAnsi="Century Gothic" w:cs="Calibri"/>
                      <w:b/>
                      <w:sz w:val="14"/>
                      <w:szCs w:val="14"/>
                    </w:rPr>
                  </w:pPr>
                  <w:r>
                    <w:rPr>
                      <w:rFonts w:ascii="Century Gothic" w:hAnsi="Century Gothic" w:cs="Calibri"/>
                      <w:b/>
                      <w:sz w:val="14"/>
                      <w:szCs w:val="14"/>
                    </w:rPr>
                    <w:t>(</w:t>
                  </w:r>
                  <w:r w:rsidRPr="00797CC1">
                    <w:rPr>
                      <w:rFonts w:ascii="Century Gothic" w:hAnsi="Century Gothic" w:cs="Calibri"/>
                      <w:b/>
                      <w:sz w:val="14"/>
                      <w:szCs w:val="14"/>
                    </w:rPr>
                    <w:t>SENACYT INFO</w:t>
                  </w:r>
                  <w:r>
                    <w:rPr>
                      <w:rFonts w:ascii="Century Gothic" w:hAnsi="Century Gothic" w:cs="Calibri"/>
                      <w:b/>
                      <w:sz w:val="14"/>
                      <w:szCs w:val="14"/>
                    </w:rPr>
                    <w:t xml:space="preserve">RMARÁ A CADA PROPONENTE EL LUGAR Y HORA) </w:t>
                  </w:r>
                </w:p>
              </w:tc>
            </w:tr>
            <w:tr w:rsidR="006169D9" w14:paraId="28F076EA" w14:textId="77777777" w:rsidTr="006D53BB">
              <w:tc>
                <w:tcPr>
                  <w:tcW w:w="3827" w:type="dxa"/>
                </w:tcPr>
                <w:p w14:paraId="06E959A6" w14:textId="76131D66" w:rsidR="006169D9" w:rsidRDefault="006169D9" w:rsidP="006169D9">
                  <w:pPr>
                    <w:spacing w:line="360" w:lineRule="auto"/>
                    <w:rPr>
                      <w:rFonts w:ascii="Century Gothic" w:hAnsi="Century Gothic" w:cs="Calibri"/>
                      <w:b/>
                      <w:sz w:val="14"/>
                      <w:szCs w:val="14"/>
                    </w:rPr>
                  </w:pPr>
                  <w:r w:rsidRPr="00797CC1">
                    <w:rPr>
                      <w:rFonts w:ascii="Century Gothic" w:hAnsi="Century Gothic" w:cs="Calibri"/>
                      <w:b/>
                      <w:sz w:val="14"/>
                      <w:szCs w:val="14"/>
                    </w:rPr>
                    <w:t>PL</w:t>
                  </w:r>
                  <w:r>
                    <w:rPr>
                      <w:rFonts w:ascii="Century Gothic" w:hAnsi="Century Gothic" w:cs="Calibri"/>
                      <w:b/>
                      <w:sz w:val="14"/>
                      <w:szCs w:val="14"/>
                    </w:rPr>
                    <w:t>AZO PARA ENTREGA DE PROPUESTAS:</w:t>
                  </w:r>
                  <w:r w:rsidRPr="00797CC1">
                    <w:rPr>
                      <w:rFonts w:ascii="Century Gothic" w:hAnsi="Century Gothic" w:cs="Calibri"/>
                      <w:b/>
                      <w:sz w:val="14"/>
                      <w:szCs w:val="14"/>
                    </w:rPr>
                    <w:t xml:space="preserve"> </w:t>
                  </w:r>
                </w:p>
              </w:tc>
              <w:tc>
                <w:tcPr>
                  <w:tcW w:w="5387" w:type="dxa"/>
                </w:tcPr>
                <w:p w14:paraId="4120F8AA" w14:textId="1EAAB575" w:rsidR="006169D9" w:rsidRDefault="006D53BB" w:rsidP="006D53BB">
                  <w:pPr>
                    <w:spacing w:line="360" w:lineRule="auto"/>
                    <w:rPr>
                      <w:rFonts w:ascii="Century Gothic" w:hAnsi="Century Gothic" w:cs="Calibri"/>
                      <w:b/>
                      <w:sz w:val="14"/>
                      <w:szCs w:val="14"/>
                    </w:rPr>
                  </w:pPr>
                  <w:r>
                    <w:rPr>
                      <w:rFonts w:ascii="Century Gothic" w:hAnsi="Century Gothic" w:cs="Calibri"/>
                      <w:b/>
                      <w:sz w:val="14"/>
                      <w:szCs w:val="14"/>
                    </w:rPr>
                    <w:t>15</w:t>
                  </w:r>
                  <w:r w:rsidR="006169D9" w:rsidRPr="00797CC1">
                    <w:rPr>
                      <w:rFonts w:ascii="Century Gothic" w:hAnsi="Century Gothic" w:cs="Calibri"/>
                      <w:b/>
                      <w:sz w:val="14"/>
                      <w:szCs w:val="14"/>
                    </w:rPr>
                    <w:t xml:space="preserve"> DE </w:t>
                  </w:r>
                  <w:r>
                    <w:rPr>
                      <w:rFonts w:ascii="Century Gothic" w:hAnsi="Century Gothic" w:cs="Calibri"/>
                      <w:b/>
                      <w:sz w:val="14"/>
                      <w:szCs w:val="14"/>
                    </w:rPr>
                    <w:t>JUNIO</w:t>
                  </w:r>
                  <w:r w:rsidR="006169D9" w:rsidRPr="00797CC1">
                    <w:rPr>
                      <w:rFonts w:ascii="Century Gothic" w:hAnsi="Century Gothic" w:cs="Calibri"/>
                      <w:b/>
                      <w:sz w:val="14"/>
                      <w:szCs w:val="14"/>
                    </w:rPr>
                    <w:t xml:space="preserve"> DE 201</w:t>
                  </w:r>
                  <w:r>
                    <w:rPr>
                      <w:rFonts w:ascii="Century Gothic" w:hAnsi="Century Gothic" w:cs="Calibri"/>
                      <w:b/>
                      <w:sz w:val="14"/>
                      <w:szCs w:val="14"/>
                    </w:rPr>
                    <w:t>8</w:t>
                  </w:r>
                  <w:r w:rsidR="006169D9" w:rsidRPr="00797CC1">
                    <w:rPr>
                      <w:rFonts w:ascii="Century Gothic" w:hAnsi="Century Gothic" w:cs="Calibri"/>
                      <w:b/>
                      <w:sz w:val="14"/>
                      <w:szCs w:val="14"/>
                    </w:rPr>
                    <w:t xml:space="preserve"> (HASTA LAS 3:00 P.M., HORA EXACTA)</w:t>
                  </w:r>
                </w:p>
              </w:tc>
            </w:tr>
          </w:tbl>
          <w:p w14:paraId="3A8A5BD9" w14:textId="51916F36" w:rsidR="006169D9" w:rsidRPr="006F54FC" w:rsidRDefault="006169D9" w:rsidP="006169D9">
            <w:pPr>
              <w:spacing w:before="120" w:after="120"/>
              <w:rPr>
                <w:rFonts w:ascii="Century Gothic" w:hAnsi="Century Gothic" w:cs="Calibri"/>
                <w:b/>
                <w:sz w:val="14"/>
                <w:szCs w:val="14"/>
              </w:rPr>
            </w:pPr>
          </w:p>
        </w:tc>
      </w:tr>
      <w:tr w:rsidR="006169D9" w:rsidRPr="006F54FC" w14:paraId="7A00C393" w14:textId="77777777" w:rsidTr="00042B08">
        <w:trPr>
          <w:trHeight w:val="529"/>
          <w:jc w:val="center"/>
        </w:trPr>
        <w:tc>
          <w:tcPr>
            <w:tcW w:w="11035" w:type="dxa"/>
            <w:gridSpan w:val="2"/>
            <w:tcBorders>
              <w:bottom w:val="single" w:sz="4" w:space="0" w:color="auto"/>
            </w:tcBorders>
          </w:tcPr>
          <w:p w14:paraId="65E9D59B" w14:textId="77777777" w:rsidR="004E3E5A" w:rsidRDefault="004E3E5A" w:rsidP="004E3E5A">
            <w:pPr>
              <w:jc w:val="both"/>
              <w:rPr>
                <w:rFonts w:ascii="Century Gothic" w:hAnsi="Century Gothic" w:cs="Calibri"/>
                <w:b/>
                <w:sz w:val="14"/>
                <w:szCs w:val="14"/>
              </w:rPr>
            </w:pPr>
            <w:r>
              <w:rPr>
                <w:rFonts w:ascii="Century Gothic" w:hAnsi="Century Gothic" w:cs="Calibri"/>
                <w:b/>
                <w:sz w:val="14"/>
                <w:szCs w:val="14"/>
              </w:rPr>
              <w:t>INFORMACIÓN RELEVANTE</w:t>
            </w:r>
            <w:r w:rsidR="006169D9" w:rsidRPr="006F54FC">
              <w:rPr>
                <w:rFonts w:ascii="Century Gothic" w:hAnsi="Century Gothic" w:cs="Calibri"/>
                <w:b/>
                <w:sz w:val="14"/>
                <w:szCs w:val="14"/>
              </w:rPr>
              <w:t>:</w:t>
            </w:r>
          </w:p>
          <w:p w14:paraId="35F7AEFC" w14:textId="501EB4D4" w:rsidR="006169D9" w:rsidRPr="006F54FC" w:rsidRDefault="004E3E5A" w:rsidP="006169D9">
            <w:pPr>
              <w:spacing w:after="120"/>
              <w:jc w:val="both"/>
              <w:rPr>
                <w:rFonts w:ascii="Century Gothic" w:eastAsia="Times New Roman" w:hAnsi="Century Gothic" w:cs="Calibri"/>
                <w:sz w:val="14"/>
                <w:szCs w:val="14"/>
                <w:lang w:eastAsia="es-ES"/>
              </w:rPr>
            </w:pPr>
            <w:r>
              <w:rPr>
                <w:rFonts w:ascii="Century Gothic" w:eastAsia="Times New Roman" w:hAnsi="Century Gothic" w:cs="Calibri"/>
                <w:sz w:val="14"/>
                <w:szCs w:val="14"/>
                <w:lang w:eastAsia="es-ES"/>
              </w:rPr>
              <w:t>Los criterios de selección, detalles e instrucciones sobre la naturaleza del Programa están descritos en el Reglamento de Convocatoria y disponibles en la página web de la SENACYT (www.senacyt.gob.pa</w:t>
            </w:r>
            <w:r w:rsidR="003754AA">
              <w:rPr>
                <w:rFonts w:ascii="Century Gothic" w:eastAsia="Times New Roman" w:hAnsi="Century Gothic" w:cs="Calibri"/>
                <w:sz w:val="14"/>
                <w:szCs w:val="14"/>
                <w:lang w:eastAsia="es-ES"/>
              </w:rPr>
              <w:t>).</w:t>
            </w:r>
            <w:bookmarkStart w:id="0" w:name="_GoBack"/>
            <w:bookmarkEnd w:id="0"/>
          </w:p>
        </w:tc>
      </w:tr>
      <w:tr w:rsidR="006169D9" w:rsidRPr="006F54FC" w14:paraId="7E5E55BF" w14:textId="77777777" w:rsidTr="00B16857">
        <w:trPr>
          <w:trHeight w:val="840"/>
          <w:jc w:val="center"/>
        </w:trPr>
        <w:tc>
          <w:tcPr>
            <w:tcW w:w="11035" w:type="dxa"/>
            <w:gridSpan w:val="2"/>
            <w:shd w:val="clear" w:color="auto" w:fill="17365D"/>
          </w:tcPr>
          <w:p w14:paraId="633BCA18" w14:textId="77777777" w:rsidR="004E3E5A" w:rsidRDefault="006169D9" w:rsidP="006169D9">
            <w:pPr>
              <w:spacing w:before="120"/>
              <w:jc w:val="both"/>
              <w:rPr>
                <w:rFonts w:ascii="Century Gothic" w:hAnsi="Century Gothic" w:cs="Calibri"/>
                <w:b/>
                <w:color w:val="FFFFFF" w:themeColor="background1"/>
                <w:sz w:val="14"/>
                <w:szCs w:val="14"/>
              </w:rPr>
            </w:pPr>
            <w:r w:rsidRPr="00B16857">
              <w:rPr>
                <w:rFonts w:ascii="Century Gothic" w:hAnsi="Century Gothic" w:cs="Calibri"/>
                <w:b/>
                <w:color w:val="FFFFFF" w:themeColor="background1"/>
                <w:sz w:val="14"/>
                <w:szCs w:val="14"/>
              </w:rPr>
              <w:t xml:space="preserve">Es responsabilidad del proponente y no de la SENACYT asegurarse que la propuesta entregada está completa y haya sido recibida en el (los) plazo(s) previsto(s). La confirmación de recepción se hará a través del envío de su código de propuesta en un plazo no mayor a tres (3) días hábiles, posterior al cierre de la convocatoria. </w:t>
            </w:r>
          </w:p>
          <w:p w14:paraId="0AA8872C" w14:textId="084C20AA" w:rsidR="006169D9" w:rsidRDefault="006169D9" w:rsidP="006169D9">
            <w:pPr>
              <w:spacing w:before="120"/>
              <w:jc w:val="both"/>
              <w:rPr>
                <w:rFonts w:ascii="Century Gothic" w:hAnsi="Century Gothic" w:cs="Calibri"/>
                <w:b/>
                <w:color w:val="FFFFFF" w:themeColor="background1"/>
                <w:sz w:val="14"/>
                <w:szCs w:val="14"/>
              </w:rPr>
            </w:pPr>
            <w:r w:rsidRPr="00B16857">
              <w:rPr>
                <w:rFonts w:ascii="Century Gothic" w:hAnsi="Century Gothic" w:cs="Calibri"/>
                <w:b/>
                <w:color w:val="FFFFFF" w:themeColor="background1"/>
                <w:sz w:val="14"/>
                <w:szCs w:val="14"/>
              </w:rPr>
              <w:t xml:space="preserve">CONSULTAS: </w:t>
            </w:r>
            <w:hyperlink r:id="rId9" w:history="1">
              <w:r w:rsidR="004E3E5A" w:rsidRPr="006A0D06">
                <w:rPr>
                  <w:rStyle w:val="Hipervnculo"/>
                  <w:rFonts w:ascii="Century Gothic" w:hAnsi="Century Gothic" w:cs="Calibri"/>
                  <w:b/>
                  <w:color w:val="FFC000"/>
                  <w:sz w:val="14"/>
                  <w:szCs w:val="14"/>
                </w:rPr>
                <w:t xml:space="preserve"> CENPEN2018@senacyt.gob.pa</w:t>
              </w:r>
            </w:hyperlink>
            <w:r w:rsidRPr="006A0D06">
              <w:rPr>
                <w:rFonts w:ascii="Century Gothic" w:hAnsi="Century Gothic" w:cs="Calibri"/>
                <w:color w:val="FFC000"/>
                <w:sz w:val="14"/>
                <w:szCs w:val="14"/>
              </w:rPr>
              <w:t xml:space="preserve">  </w:t>
            </w:r>
            <w:r w:rsidRPr="00B16857">
              <w:rPr>
                <w:rFonts w:ascii="Century Gothic" w:hAnsi="Century Gothic" w:cs="Calibri"/>
                <w:b/>
                <w:color w:val="FFFFFF" w:themeColor="background1"/>
                <w:sz w:val="14"/>
                <w:szCs w:val="14"/>
              </w:rPr>
              <w:t xml:space="preserve">al 517-0014 ext. </w:t>
            </w:r>
            <w:r w:rsidR="006A0D06">
              <w:rPr>
                <w:rFonts w:ascii="Century Gothic" w:hAnsi="Century Gothic" w:cs="Calibri"/>
                <w:b/>
                <w:color w:val="FFFFFF" w:themeColor="background1"/>
                <w:sz w:val="14"/>
                <w:szCs w:val="14"/>
              </w:rPr>
              <w:t>1</w:t>
            </w:r>
            <w:r w:rsidR="00C16F74">
              <w:rPr>
                <w:rFonts w:ascii="Century Gothic" w:hAnsi="Century Gothic" w:cs="Calibri"/>
                <w:b/>
                <w:color w:val="FFFFFF" w:themeColor="background1"/>
                <w:sz w:val="14"/>
                <w:szCs w:val="14"/>
              </w:rPr>
              <w:t>105</w:t>
            </w:r>
            <w:r w:rsidR="004E3E5A">
              <w:rPr>
                <w:rFonts w:ascii="Century Gothic" w:hAnsi="Century Gothic" w:cs="Calibri"/>
                <w:b/>
                <w:color w:val="FFFFFF" w:themeColor="background1"/>
                <w:sz w:val="14"/>
                <w:szCs w:val="14"/>
              </w:rPr>
              <w:t xml:space="preserve"> o 1193</w:t>
            </w:r>
            <w:r>
              <w:rPr>
                <w:rFonts w:ascii="Century Gothic" w:hAnsi="Century Gothic" w:cs="Calibri"/>
                <w:b/>
                <w:color w:val="FFFFFF" w:themeColor="background1"/>
                <w:sz w:val="14"/>
                <w:szCs w:val="14"/>
              </w:rPr>
              <w:t>.</w:t>
            </w:r>
          </w:p>
          <w:p w14:paraId="0A5BC9EE" w14:textId="60535208" w:rsidR="006169D9" w:rsidRPr="00B16857" w:rsidRDefault="006169D9" w:rsidP="006169D9">
            <w:pPr>
              <w:spacing w:before="120"/>
              <w:jc w:val="both"/>
              <w:rPr>
                <w:rFonts w:ascii="Century Gothic" w:hAnsi="Century Gothic" w:cs="Calibri"/>
                <w:b/>
                <w:color w:val="FFFFFF" w:themeColor="background1"/>
                <w:sz w:val="14"/>
                <w:szCs w:val="14"/>
              </w:rPr>
            </w:pPr>
            <w:r w:rsidRPr="00472A3C">
              <w:rPr>
                <w:rFonts w:ascii="Century Gothic" w:hAnsi="Century Gothic" w:cs="Calibri"/>
                <w:b/>
                <w:color w:val="FFFFFF" w:themeColor="background1"/>
                <w:sz w:val="14"/>
                <w:szCs w:val="14"/>
              </w:rPr>
              <w:t>NOTA:  El Banco Interamericano de Desarrollo (BID) ha aprobado a la República de Panamá (El Prestatario) un financiamiento para parte de los gastos elegibles del Programa de “Innovación para la Inclusión Social y la Productividad”, cuyo Contrato de Préstamo está identificado con el No.3692/OC-PN.</w:t>
            </w:r>
          </w:p>
        </w:tc>
      </w:tr>
    </w:tbl>
    <w:p w14:paraId="040C79A0" w14:textId="7839BF6A" w:rsidR="006F54FC" w:rsidRDefault="006F54FC" w:rsidP="006066F7">
      <w:pPr>
        <w:rPr>
          <w:rFonts w:ascii="Century Gothic" w:hAnsi="Century Gothic"/>
          <w:sz w:val="14"/>
          <w:szCs w:val="14"/>
        </w:rPr>
      </w:pPr>
    </w:p>
    <w:p w14:paraId="5A71464F" w14:textId="77777777" w:rsidR="006066F7" w:rsidRPr="006F54FC" w:rsidRDefault="006066F7" w:rsidP="006066F7">
      <w:pPr>
        <w:rPr>
          <w:rFonts w:ascii="Century Gothic" w:hAnsi="Century Gothic"/>
          <w:sz w:val="14"/>
          <w:szCs w:val="14"/>
        </w:rPr>
      </w:pPr>
    </w:p>
    <w:sectPr w:rsidR="006066F7" w:rsidRPr="006F54FC" w:rsidSect="004B2BCA">
      <w:headerReference w:type="default" r:id="rId10"/>
      <w:pgSz w:w="12240" w:h="15840" w:code="1"/>
      <w:pgMar w:top="680" w:right="720" w:bottom="720" w:left="68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3AE27" w14:textId="77777777" w:rsidR="003049BC" w:rsidRDefault="003049BC" w:rsidP="00121735">
      <w:r>
        <w:separator/>
      </w:r>
    </w:p>
  </w:endnote>
  <w:endnote w:type="continuationSeparator" w:id="0">
    <w:p w14:paraId="73C34B7F" w14:textId="77777777" w:rsidR="003049BC" w:rsidRDefault="003049BC" w:rsidP="001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80507" w14:textId="77777777" w:rsidR="003049BC" w:rsidRDefault="003049BC" w:rsidP="00121735">
      <w:r>
        <w:separator/>
      </w:r>
    </w:p>
  </w:footnote>
  <w:footnote w:type="continuationSeparator" w:id="0">
    <w:p w14:paraId="1F23C537" w14:textId="77777777" w:rsidR="003049BC" w:rsidRDefault="003049BC" w:rsidP="0012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CA19" w14:textId="451EBEB2" w:rsidR="00EA6717" w:rsidRPr="000B2507" w:rsidRDefault="000B2507" w:rsidP="000B2507">
    <w:pPr>
      <w:pStyle w:val="Encabezado"/>
      <w:jc w:val="both"/>
      <w:rPr>
        <w:sz w:val="8"/>
        <w:szCs w:val="8"/>
      </w:rPr>
    </w:pPr>
    <w:r>
      <w:rPr>
        <w:noProof/>
        <w:sz w:val="8"/>
        <w:szCs w:val="8"/>
        <w:lang w:val="es-PA" w:eastAsia="es-PA"/>
      </w:rPr>
      <w:drawing>
        <wp:inline distT="0" distB="0" distL="0" distR="0" wp14:anchorId="2E2A9572" wp14:editId="32B409A9">
          <wp:extent cx="1876425" cy="485775"/>
          <wp:effectExtent l="0" t="0" r="9525" b="9525"/>
          <wp:docPr id="7" name="Imagen 7" descr="\\192.168.0.10\id\NUEVA IMAGEN SENACYT\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0\id\NUEVA IMAGEN SENACYT\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Pr="008B0808">
      <w:rPr>
        <w:sz w:val="8"/>
        <w:szCs w:val="8"/>
      </w:rPr>
      <w:t xml:space="preserve">    </w:t>
    </w:r>
    <w:r>
      <w:rPr>
        <w:sz w:val="8"/>
        <w:szCs w:val="8"/>
      </w:rPr>
      <w:t xml:space="preserve">                                                                                             </w:t>
    </w:r>
    <w:r>
      <w:rPr>
        <w:noProof/>
        <w:lang w:val="es-PA" w:eastAsia="es-PA"/>
      </w:rPr>
      <w:drawing>
        <wp:inline distT="0" distB="0" distL="0" distR="0" wp14:anchorId="3FE36AAB" wp14:editId="127FE689">
          <wp:extent cx="882142" cy="505380"/>
          <wp:effectExtent l="0" t="0" r="0" b="9525"/>
          <wp:docPr id="8" name="Imagen 8" descr="Resultado de imagen de logo de gobierno nacional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gobierno nacional de panam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315" cy="558186"/>
                  </a:xfrm>
                  <a:prstGeom prst="rect">
                    <a:avLst/>
                  </a:prstGeom>
                  <a:noFill/>
                  <a:ln>
                    <a:noFill/>
                  </a:ln>
                </pic:spPr>
              </pic:pic>
            </a:graphicData>
          </a:graphic>
        </wp:inline>
      </w:drawing>
    </w:r>
    <w:r>
      <w:rPr>
        <w:sz w:val="8"/>
        <w:szCs w:val="8"/>
      </w:rPr>
      <w:t xml:space="preserve">                                                                                                                                     </w:t>
    </w:r>
    <w:r>
      <w:rPr>
        <w:noProof/>
        <w:color w:val="1F497D"/>
        <w:lang w:val="es-PA" w:eastAsia="es-PA"/>
      </w:rPr>
      <w:drawing>
        <wp:inline distT="0" distB="0" distL="0" distR="0" wp14:anchorId="4FBBC307" wp14:editId="7135B24A">
          <wp:extent cx="1036320" cy="459787"/>
          <wp:effectExtent l="0" t="0" r="0" b="0"/>
          <wp:docPr id="9" name="Imagen 9"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96860" cy="486647"/>
                  </a:xfrm>
                  <a:prstGeom prst="rect">
                    <a:avLst/>
                  </a:prstGeom>
                  <a:noFill/>
                  <a:ln>
                    <a:noFill/>
                  </a:ln>
                </pic:spPr>
              </pic:pic>
            </a:graphicData>
          </a:graphic>
        </wp:inline>
      </w:drawing>
    </w:r>
    <w:r w:rsidR="000742DE">
      <w:tab/>
    </w:r>
    <w:r w:rsidR="00EA6717">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75684"/>
    <w:multiLevelType w:val="hybridMultilevel"/>
    <w:tmpl w:val="935460C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96E0115"/>
    <w:multiLevelType w:val="hybridMultilevel"/>
    <w:tmpl w:val="8912129C"/>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0651CA2"/>
    <w:multiLevelType w:val="hybridMultilevel"/>
    <w:tmpl w:val="330CAD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D587113"/>
    <w:multiLevelType w:val="hybridMultilevel"/>
    <w:tmpl w:val="717E7D0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7134807"/>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7F642E"/>
    <w:multiLevelType w:val="hybridMultilevel"/>
    <w:tmpl w:val="1498878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8" w15:restartNumberingAfterBreak="0">
    <w:nsid w:val="352A446B"/>
    <w:multiLevelType w:val="hybridMultilevel"/>
    <w:tmpl w:val="EA787A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44774236"/>
    <w:multiLevelType w:val="hybridMultilevel"/>
    <w:tmpl w:val="CD609C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52083723"/>
    <w:multiLevelType w:val="hybridMultilevel"/>
    <w:tmpl w:val="0CD83C1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54050DC0"/>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69C567A2"/>
    <w:multiLevelType w:val="hybridMultilevel"/>
    <w:tmpl w:val="DD78C0D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6B2B223E"/>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6F055EAE"/>
    <w:multiLevelType w:val="hybridMultilevel"/>
    <w:tmpl w:val="DD78C0D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77095CF1"/>
    <w:multiLevelType w:val="hybridMultilevel"/>
    <w:tmpl w:val="A5C4E6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78FD5101"/>
    <w:multiLevelType w:val="hybridMultilevel"/>
    <w:tmpl w:val="60424A46"/>
    <w:lvl w:ilvl="0" w:tplc="F4785324">
      <w:start w:val="1"/>
      <w:numFmt w:val="decimal"/>
      <w:lvlText w:val="%1."/>
      <w:lvlJc w:val="left"/>
      <w:pPr>
        <w:ind w:left="-2493" w:hanging="360"/>
      </w:pPr>
      <w:rPr>
        <w:rFonts w:hint="default"/>
        <w:b w:val="0"/>
      </w:rPr>
    </w:lvl>
    <w:lvl w:ilvl="1" w:tplc="2CD0A03A">
      <w:start w:val="1"/>
      <w:numFmt w:val="upperRoman"/>
      <w:lvlText w:val="%2."/>
      <w:lvlJc w:val="left"/>
      <w:pPr>
        <w:ind w:left="-1413" w:hanging="720"/>
      </w:pPr>
      <w:rPr>
        <w:rFonts w:hint="default"/>
      </w:rPr>
    </w:lvl>
    <w:lvl w:ilvl="2" w:tplc="0C0A001B" w:tentative="1">
      <w:start w:val="1"/>
      <w:numFmt w:val="lowerRoman"/>
      <w:lvlText w:val="%3."/>
      <w:lvlJc w:val="right"/>
      <w:pPr>
        <w:ind w:left="-1053" w:hanging="180"/>
      </w:pPr>
    </w:lvl>
    <w:lvl w:ilvl="3" w:tplc="0C0A000F" w:tentative="1">
      <w:start w:val="1"/>
      <w:numFmt w:val="decimal"/>
      <w:lvlText w:val="%4."/>
      <w:lvlJc w:val="left"/>
      <w:pPr>
        <w:ind w:left="-333" w:hanging="360"/>
      </w:pPr>
    </w:lvl>
    <w:lvl w:ilvl="4" w:tplc="0C0A0019" w:tentative="1">
      <w:start w:val="1"/>
      <w:numFmt w:val="lowerLetter"/>
      <w:lvlText w:val="%5."/>
      <w:lvlJc w:val="left"/>
      <w:pPr>
        <w:ind w:left="387" w:hanging="360"/>
      </w:pPr>
    </w:lvl>
    <w:lvl w:ilvl="5" w:tplc="0C0A001B" w:tentative="1">
      <w:start w:val="1"/>
      <w:numFmt w:val="lowerRoman"/>
      <w:lvlText w:val="%6."/>
      <w:lvlJc w:val="right"/>
      <w:pPr>
        <w:ind w:left="1107" w:hanging="180"/>
      </w:pPr>
    </w:lvl>
    <w:lvl w:ilvl="6" w:tplc="0C0A000F" w:tentative="1">
      <w:start w:val="1"/>
      <w:numFmt w:val="decimal"/>
      <w:lvlText w:val="%7."/>
      <w:lvlJc w:val="left"/>
      <w:pPr>
        <w:ind w:left="1827" w:hanging="360"/>
      </w:pPr>
    </w:lvl>
    <w:lvl w:ilvl="7" w:tplc="0C0A0019" w:tentative="1">
      <w:start w:val="1"/>
      <w:numFmt w:val="lowerLetter"/>
      <w:lvlText w:val="%8."/>
      <w:lvlJc w:val="left"/>
      <w:pPr>
        <w:ind w:left="2547" w:hanging="360"/>
      </w:pPr>
    </w:lvl>
    <w:lvl w:ilvl="8" w:tplc="0C0A001B" w:tentative="1">
      <w:start w:val="1"/>
      <w:numFmt w:val="lowerRoman"/>
      <w:lvlText w:val="%9."/>
      <w:lvlJc w:val="right"/>
      <w:pPr>
        <w:ind w:left="3267" w:hanging="180"/>
      </w:pPr>
    </w:lvl>
  </w:abstractNum>
  <w:num w:numId="1">
    <w:abstractNumId w:val="3"/>
  </w:num>
  <w:num w:numId="2">
    <w:abstractNumId w:val="17"/>
  </w:num>
  <w:num w:numId="3">
    <w:abstractNumId w:val="12"/>
  </w:num>
  <w:num w:numId="4">
    <w:abstractNumId w:val="2"/>
  </w:num>
  <w:num w:numId="5">
    <w:abstractNumId w:val="8"/>
  </w:num>
  <w:num w:numId="6">
    <w:abstractNumId w:val="16"/>
  </w:num>
  <w:num w:numId="7">
    <w:abstractNumId w:val="7"/>
  </w:num>
  <w:num w:numId="8">
    <w:abstractNumId w:val="11"/>
  </w:num>
  <w:num w:numId="9">
    <w:abstractNumId w:val="6"/>
  </w:num>
  <w:num w:numId="10">
    <w:abstractNumId w:val="0"/>
  </w:num>
  <w:num w:numId="11">
    <w:abstractNumId w:val="5"/>
  </w:num>
  <w:num w:numId="12">
    <w:abstractNumId w:val="14"/>
  </w:num>
  <w:num w:numId="13">
    <w:abstractNumId w:val="10"/>
  </w:num>
  <w:num w:numId="14">
    <w:abstractNumId w:val="1"/>
  </w:num>
  <w:num w:numId="15">
    <w:abstractNumId w:val="9"/>
  </w:num>
  <w:num w:numId="16">
    <w:abstractNumId w:val="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35"/>
    <w:rsid w:val="00000204"/>
    <w:rsid w:val="00042B08"/>
    <w:rsid w:val="00050E5B"/>
    <w:rsid w:val="0005478B"/>
    <w:rsid w:val="0005620E"/>
    <w:rsid w:val="000742DE"/>
    <w:rsid w:val="00095A0D"/>
    <w:rsid w:val="000A7605"/>
    <w:rsid w:val="000B119E"/>
    <w:rsid w:val="000B2507"/>
    <w:rsid w:val="000B6F9F"/>
    <w:rsid w:val="000C3DE4"/>
    <w:rsid w:val="000D6A61"/>
    <w:rsid w:val="000F0C13"/>
    <w:rsid w:val="000F5044"/>
    <w:rsid w:val="000F5A60"/>
    <w:rsid w:val="00112999"/>
    <w:rsid w:val="00114CBF"/>
    <w:rsid w:val="00121735"/>
    <w:rsid w:val="001352CC"/>
    <w:rsid w:val="00151018"/>
    <w:rsid w:val="00166D19"/>
    <w:rsid w:val="00171BD4"/>
    <w:rsid w:val="001738DD"/>
    <w:rsid w:val="001801FF"/>
    <w:rsid w:val="001815DF"/>
    <w:rsid w:val="001A382F"/>
    <w:rsid w:val="001B23FB"/>
    <w:rsid w:val="001B31FE"/>
    <w:rsid w:val="001B6D44"/>
    <w:rsid w:val="001C7F7A"/>
    <w:rsid w:val="001F15B8"/>
    <w:rsid w:val="001F180C"/>
    <w:rsid w:val="001F7654"/>
    <w:rsid w:val="0020296C"/>
    <w:rsid w:val="00221FD4"/>
    <w:rsid w:val="0022224D"/>
    <w:rsid w:val="00234FA7"/>
    <w:rsid w:val="002356F2"/>
    <w:rsid w:val="002403DD"/>
    <w:rsid w:val="00264E94"/>
    <w:rsid w:val="00266FCD"/>
    <w:rsid w:val="002706A0"/>
    <w:rsid w:val="0028387F"/>
    <w:rsid w:val="0029309C"/>
    <w:rsid w:val="00293CB0"/>
    <w:rsid w:val="00297BC9"/>
    <w:rsid w:val="002B0D16"/>
    <w:rsid w:val="002C16BD"/>
    <w:rsid w:val="002C4939"/>
    <w:rsid w:val="002C4D5B"/>
    <w:rsid w:val="002C6544"/>
    <w:rsid w:val="002E7CFC"/>
    <w:rsid w:val="003049BC"/>
    <w:rsid w:val="00312FC5"/>
    <w:rsid w:val="00335930"/>
    <w:rsid w:val="00343743"/>
    <w:rsid w:val="00346ACF"/>
    <w:rsid w:val="00361381"/>
    <w:rsid w:val="00374B6D"/>
    <w:rsid w:val="003754AA"/>
    <w:rsid w:val="0038403E"/>
    <w:rsid w:val="00392BB7"/>
    <w:rsid w:val="003A0681"/>
    <w:rsid w:val="003A357A"/>
    <w:rsid w:val="003A4DD4"/>
    <w:rsid w:val="003B7703"/>
    <w:rsid w:val="003D163C"/>
    <w:rsid w:val="003D5A20"/>
    <w:rsid w:val="003E7545"/>
    <w:rsid w:val="003F7FF0"/>
    <w:rsid w:val="00407436"/>
    <w:rsid w:val="00442B47"/>
    <w:rsid w:val="00472A3C"/>
    <w:rsid w:val="00472F9B"/>
    <w:rsid w:val="00477F7C"/>
    <w:rsid w:val="00480992"/>
    <w:rsid w:val="0048519A"/>
    <w:rsid w:val="00491E07"/>
    <w:rsid w:val="004B2BCA"/>
    <w:rsid w:val="004C09C9"/>
    <w:rsid w:val="004D1A8B"/>
    <w:rsid w:val="004D6C33"/>
    <w:rsid w:val="004E3E5A"/>
    <w:rsid w:val="004F5653"/>
    <w:rsid w:val="004F7582"/>
    <w:rsid w:val="00513F5E"/>
    <w:rsid w:val="00517ED7"/>
    <w:rsid w:val="00522950"/>
    <w:rsid w:val="00551431"/>
    <w:rsid w:val="00553735"/>
    <w:rsid w:val="005548F5"/>
    <w:rsid w:val="005905C3"/>
    <w:rsid w:val="0059760F"/>
    <w:rsid w:val="005B0D70"/>
    <w:rsid w:val="005D1245"/>
    <w:rsid w:val="005E49AB"/>
    <w:rsid w:val="005F1FEC"/>
    <w:rsid w:val="005F23F7"/>
    <w:rsid w:val="00605E72"/>
    <w:rsid w:val="006060AD"/>
    <w:rsid w:val="00606355"/>
    <w:rsid w:val="006066F7"/>
    <w:rsid w:val="00606AEF"/>
    <w:rsid w:val="00612FC2"/>
    <w:rsid w:val="006169D9"/>
    <w:rsid w:val="0062020B"/>
    <w:rsid w:val="00621BFD"/>
    <w:rsid w:val="00627C5D"/>
    <w:rsid w:val="00655C5E"/>
    <w:rsid w:val="00657CA5"/>
    <w:rsid w:val="00694AE9"/>
    <w:rsid w:val="006971A0"/>
    <w:rsid w:val="006A0266"/>
    <w:rsid w:val="006A0D06"/>
    <w:rsid w:val="006A7EF6"/>
    <w:rsid w:val="006C33A6"/>
    <w:rsid w:val="006C45CE"/>
    <w:rsid w:val="006C6962"/>
    <w:rsid w:val="006C73ED"/>
    <w:rsid w:val="006D3C9B"/>
    <w:rsid w:val="006D53BB"/>
    <w:rsid w:val="006E4F2B"/>
    <w:rsid w:val="006E585E"/>
    <w:rsid w:val="006F3DD4"/>
    <w:rsid w:val="006F54FC"/>
    <w:rsid w:val="0070094F"/>
    <w:rsid w:val="00706B56"/>
    <w:rsid w:val="00713D9A"/>
    <w:rsid w:val="00734848"/>
    <w:rsid w:val="007401BB"/>
    <w:rsid w:val="00741AF5"/>
    <w:rsid w:val="00775D7D"/>
    <w:rsid w:val="007860AD"/>
    <w:rsid w:val="0079182F"/>
    <w:rsid w:val="00797CC1"/>
    <w:rsid w:val="00806CCB"/>
    <w:rsid w:val="00811AEF"/>
    <w:rsid w:val="00817B3E"/>
    <w:rsid w:val="00826804"/>
    <w:rsid w:val="008402FD"/>
    <w:rsid w:val="00887505"/>
    <w:rsid w:val="00894B24"/>
    <w:rsid w:val="008C5C9C"/>
    <w:rsid w:val="008C617A"/>
    <w:rsid w:val="008F24FA"/>
    <w:rsid w:val="00907A82"/>
    <w:rsid w:val="00955878"/>
    <w:rsid w:val="00966386"/>
    <w:rsid w:val="0097262C"/>
    <w:rsid w:val="00982CF8"/>
    <w:rsid w:val="0099067E"/>
    <w:rsid w:val="00991E9E"/>
    <w:rsid w:val="0099409C"/>
    <w:rsid w:val="00995023"/>
    <w:rsid w:val="00995EC1"/>
    <w:rsid w:val="009A0775"/>
    <w:rsid w:val="009D2233"/>
    <w:rsid w:val="009D7301"/>
    <w:rsid w:val="009E61F9"/>
    <w:rsid w:val="00A07F05"/>
    <w:rsid w:val="00A54491"/>
    <w:rsid w:val="00A8434C"/>
    <w:rsid w:val="00A87270"/>
    <w:rsid w:val="00A922B1"/>
    <w:rsid w:val="00AC5E5C"/>
    <w:rsid w:val="00AC6E34"/>
    <w:rsid w:val="00AD03BF"/>
    <w:rsid w:val="00AD0C2E"/>
    <w:rsid w:val="00AD0CBC"/>
    <w:rsid w:val="00AD446D"/>
    <w:rsid w:val="00AE2CA0"/>
    <w:rsid w:val="00AE36BF"/>
    <w:rsid w:val="00AF5576"/>
    <w:rsid w:val="00AF7347"/>
    <w:rsid w:val="00B163EC"/>
    <w:rsid w:val="00B16857"/>
    <w:rsid w:val="00B30BA9"/>
    <w:rsid w:val="00B320A5"/>
    <w:rsid w:val="00B32A91"/>
    <w:rsid w:val="00B3740A"/>
    <w:rsid w:val="00B406C1"/>
    <w:rsid w:val="00B5089D"/>
    <w:rsid w:val="00B55CF8"/>
    <w:rsid w:val="00B65A24"/>
    <w:rsid w:val="00B6629D"/>
    <w:rsid w:val="00B93834"/>
    <w:rsid w:val="00B966BD"/>
    <w:rsid w:val="00BB14D7"/>
    <w:rsid w:val="00BC0CED"/>
    <w:rsid w:val="00BC5C53"/>
    <w:rsid w:val="00BC6BBC"/>
    <w:rsid w:val="00BD3D45"/>
    <w:rsid w:val="00BD70E8"/>
    <w:rsid w:val="00BE4C21"/>
    <w:rsid w:val="00BF3809"/>
    <w:rsid w:val="00BF60E7"/>
    <w:rsid w:val="00C056A3"/>
    <w:rsid w:val="00C13119"/>
    <w:rsid w:val="00C16F74"/>
    <w:rsid w:val="00C2037A"/>
    <w:rsid w:val="00C23A23"/>
    <w:rsid w:val="00C476EB"/>
    <w:rsid w:val="00C55027"/>
    <w:rsid w:val="00C71174"/>
    <w:rsid w:val="00C90F3D"/>
    <w:rsid w:val="00CA04E8"/>
    <w:rsid w:val="00CA1620"/>
    <w:rsid w:val="00CB4441"/>
    <w:rsid w:val="00CC0F76"/>
    <w:rsid w:val="00CE0318"/>
    <w:rsid w:val="00CE2065"/>
    <w:rsid w:val="00CE6324"/>
    <w:rsid w:val="00CF08CE"/>
    <w:rsid w:val="00D1357E"/>
    <w:rsid w:val="00D15BF2"/>
    <w:rsid w:val="00D20944"/>
    <w:rsid w:val="00D247CA"/>
    <w:rsid w:val="00D27294"/>
    <w:rsid w:val="00D61D76"/>
    <w:rsid w:val="00D6705A"/>
    <w:rsid w:val="00D676F6"/>
    <w:rsid w:val="00DA0024"/>
    <w:rsid w:val="00DA0610"/>
    <w:rsid w:val="00DD2410"/>
    <w:rsid w:val="00DD2C8E"/>
    <w:rsid w:val="00DE0DF6"/>
    <w:rsid w:val="00DE1D0E"/>
    <w:rsid w:val="00DF08C2"/>
    <w:rsid w:val="00DF0FFC"/>
    <w:rsid w:val="00DF69AC"/>
    <w:rsid w:val="00E21C69"/>
    <w:rsid w:val="00E273FB"/>
    <w:rsid w:val="00E34AA9"/>
    <w:rsid w:val="00E84CBB"/>
    <w:rsid w:val="00E97C92"/>
    <w:rsid w:val="00EA6717"/>
    <w:rsid w:val="00EB2384"/>
    <w:rsid w:val="00EC158E"/>
    <w:rsid w:val="00EC3F95"/>
    <w:rsid w:val="00EC554C"/>
    <w:rsid w:val="00ED42B4"/>
    <w:rsid w:val="00EE0E70"/>
    <w:rsid w:val="00EE661D"/>
    <w:rsid w:val="00F02A29"/>
    <w:rsid w:val="00F142CB"/>
    <w:rsid w:val="00F150DC"/>
    <w:rsid w:val="00F25A1C"/>
    <w:rsid w:val="00F2655A"/>
    <w:rsid w:val="00F27833"/>
    <w:rsid w:val="00F3301F"/>
    <w:rsid w:val="00F35087"/>
    <w:rsid w:val="00F46F79"/>
    <w:rsid w:val="00F65986"/>
    <w:rsid w:val="00F71465"/>
    <w:rsid w:val="00F71F3F"/>
    <w:rsid w:val="00F75447"/>
    <w:rsid w:val="00F80911"/>
    <w:rsid w:val="00F97B11"/>
    <w:rsid w:val="00FA55FB"/>
    <w:rsid w:val="00FB7855"/>
    <w:rsid w:val="00FE1E59"/>
    <w:rsid w:val="00FE3EAF"/>
    <w:rsid w:val="00FE7029"/>
    <w:rsid w:val="00FF3193"/>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43B1"/>
  <w15:docId w15:val="{22880346-FD85-41B2-AA25-36C76D95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35"/>
    <w:rPr>
      <w:rFonts w:ascii="Times New Roman" w:eastAsia="MS Mincho" w:hAnsi="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21735"/>
    <w:rPr>
      <w:color w:val="0000FF"/>
      <w:u w:val="single"/>
    </w:rPr>
  </w:style>
  <w:style w:type="paragraph" w:styleId="Encabezado">
    <w:name w:val="header"/>
    <w:basedOn w:val="Normal"/>
    <w:link w:val="EncabezadoCar"/>
    <w:unhideWhenUsed/>
    <w:rsid w:val="00121735"/>
    <w:pPr>
      <w:tabs>
        <w:tab w:val="center" w:pos="4419"/>
        <w:tab w:val="right" w:pos="8838"/>
      </w:tabs>
    </w:pPr>
  </w:style>
  <w:style w:type="character" w:customStyle="1" w:styleId="EncabezadoCar">
    <w:name w:val="Encabezado Car"/>
    <w:link w:val="Encabezado"/>
    <w:rsid w:val="00121735"/>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121735"/>
    <w:pPr>
      <w:tabs>
        <w:tab w:val="center" w:pos="4419"/>
        <w:tab w:val="right" w:pos="8838"/>
      </w:tabs>
    </w:pPr>
  </w:style>
  <w:style w:type="character" w:customStyle="1" w:styleId="PiedepginaCar">
    <w:name w:val="Pie de página Car"/>
    <w:link w:val="Piedepgina"/>
    <w:uiPriority w:val="99"/>
    <w:rsid w:val="00121735"/>
    <w:rPr>
      <w:rFonts w:ascii="Times New Roman" w:eastAsia="MS Mincho" w:hAnsi="Times New Roman" w:cs="Times New Roman"/>
      <w:sz w:val="24"/>
      <w:szCs w:val="24"/>
      <w:lang w:val="es-ES" w:eastAsia="ja-JP"/>
    </w:rPr>
  </w:style>
  <w:style w:type="paragraph" w:styleId="Textodeglobo">
    <w:name w:val="Balloon Text"/>
    <w:basedOn w:val="Normal"/>
    <w:link w:val="TextodegloboCar"/>
    <w:uiPriority w:val="99"/>
    <w:semiHidden/>
    <w:unhideWhenUsed/>
    <w:rsid w:val="00121735"/>
    <w:rPr>
      <w:rFonts w:ascii="Tahoma" w:hAnsi="Tahoma" w:cs="Tahoma"/>
      <w:sz w:val="16"/>
      <w:szCs w:val="16"/>
    </w:rPr>
  </w:style>
  <w:style w:type="character" w:customStyle="1" w:styleId="TextodegloboCar">
    <w:name w:val="Texto de globo Car"/>
    <w:link w:val="Textodeglobo"/>
    <w:uiPriority w:val="99"/>
    <w:semiHidden/>
    <w:rsid w:val="00121735"/>
    <w:rPr>
      <w:rFonts w:ascii="Tahoma" w:eastAsia="MS Mincho" w:hAnsi="Tahoma" w:cs="Tahoma"/>
      <w:sz w:val="16"/>
      <w:szCs w:val="16"/>
      <w:lang w:val="es-ES" w:eastAsia="ja-JP"/>
    </w:rPr>
  </w:style>
  <w:style w:type="paragraph" w:styleId="Prrafodelista">
    <w:name w:val="List Paragraph"/>
    <w:basedOn w:val="Normal"/>
    <w:uiPriority w:val="34"/>
    <w:qFormat/>
    <w:rsid w:val="006C73ED"/>
    <w:pPr>
      <w:ind w:left="720"/>
      <w:contextualSpacing/>
    </w:pPr>
  </w:style>
  <w:style w:type="character" w:styleId="Refdecomentario">
    <w:name w:val="annotation reference"/>
    <w:basedOn w:val="Fuentedeprrafopredeter"/>
    <w:unhideWhenUsed/>
    <w:rsid w:val="0097262C"/>
    <w:rPr>
      <w:sz w:val="16"/>
      <w:szCs w:val="16"/>
    </w:rPr>
  </w:style>
  <w:style w:type="paragraph" w:styleId="Textocomentario">
    <w:name w:val="annotation text"/>
    <w:basedOn w:val="Normal"/>
    <w:link w:val="TextocomentarioCar"/>
    <w:unhideWhenUsed/>
    <w:rsid w:val="0097262C"/>
    <w:rPr>
      <w:sz w:val="20"/>
      <w:szCs w:val="20"/>
    </w:rPr>
  </w:style>
  <w:style w:type="character" w:customStyle="1" w:styleId="TextocomentarioCar">
    <w:name w:val="Texto comentario Car"/>
    <w:basedOn w:val="Fuentedeprrafopredeter"/>
    <w:link w:val="Textocomentario"/>
    <w:rsid w:val="0097262C"/>
    <w:rPr>
      <w:rFonts w:ascii="Times New Roman" w:eastAsia="MS Mincho" w:hAnsi="Times New Roman"/>
      <w:lang w:val="es-ES" w:eastAsia="ja-JP"/>
    </w:rPr>
  </w:style>
  <w:style w:type="paragraph" w:styleId="Asuntodelcomentario">
    <w:name w:val="annotation subject"/>
    <w:basedOn w:val="Textocomentario"/>
    <w:next w:val="Textocomentario"/>
    <w:link w:val="AsuntodelcomentarioCar"/>
    <w:uiPriority w:val="99"/>
    <w:semiHidden/>
    <w:unhideWhenUsed/>
    <w:rsid w:val="0097262C"/>
    <w:rPr>
      <w:b/>
      <w:bCs/>
    </w:rPr>
  </w:style>
  <w:style w:type="character" w:customStyle="1" w:styleId="AsuntodelcomentarioCar">
    <w:name w:val="Asunto del comentario Car"/>
    <w:basedOn w:val="TextocomentarioCar"/>
    <w:link w:val="Asuntodelcomentario"/>
    <w:uiPriority w:val="99"/>
    <w:semiHidden/>
    <w:rsid w:val="0097262C"/>
    <w:rPr>
      <w:rFonts w:ascii="Times New Roman" w:eastAsia="MS Mincho" w:hAnsi="Times New Roman"/>
      <w:b/>
      <w:bCs/>
      <w:lang w:val="es-ES" w:eastAsia="ja-JP"/>
    </w:rPr>
  </w:style>
  <w:style w:type="table" w:styleId="Tablaconcuadrcula">
    <w:name w:val="Table Grid"/>
    <w:basedOn w:val="Tablanormal"/>
    <w:uiPriority w:val="59"/>
    <w:rsid w:val="002C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wp-content/uploads/2017/10/Gaceta-Oficial-Digital-RA19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CENPEN2018@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image008.png@01D25544.2D0F7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696C-F4D8-47EE-890E-5CE5BA72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4452</CharactersWithSpaces>
  <SharedDoc>false</SharedDoc>
  <HLinks>
    <vt:vector size="12" baseType="variant">
      <vt:variant>
        <vt:i4>6946894</vt:i4>
      </vt:variant>
      <vt:variant>
        <vt:i4>3</vt:i4>
      </vt:variant>
      <vt:variant>
        <vt:i4>0</vt:i4>
      </vt:variant>
      <vt:variant>
        <vt:i4>5</vt:i4>
      </vt:variant>
      <vt:variant>
        <vt:lpwstr>mailto:%20generarcapacidades@senacyt.gob.pa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violettac</dc:creator>
  <cp:lastModifiedBy>Giancarlo Roach Rivas</cp:lastModifiedBy>
  <cp:revision>35</cp:revision>
  <cp:lastPrinted>2018-03-22T16:16:00Z</cp:lastPrinted>
  <dcterms:created xsi:type="dcterms:W3CDTF">2017-06-19T19:02:00Z</dcterms:created>
  <dcterms:modified xsi:type="dcterms:W3CDTF">2018-03-29T13:23:00Z</dcterms:modified>
</cp:coreProperties>
</file>