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40" w:rsidRDefault="00EF2B40" w:rsidP="001E4914">
      <w:pPr>
        <w:jc w:val="center"/>
        <w:rPr>
          <w:b/>
          <w:sz w:val="32"/>
        </w:rPr>
      </w:pPr>
    </w:p>
    <w:p w:rsidR="00AD5F9B" w:rsidRDefault="00AD5F9B" w:rsidP="001E4914">
      <w:pPr>
        <w:jc w:val="center"/>
        <w:rPr>
          <w:b/>
          <w:sz w:val="32"/>
        </w:rPr>
      </w:pPr>
      <w:r w:rsidRPr="00AD5F9B">
        <w:rPr>
          <w:b/>
          <w:sz w:val="32"/>
        </w:rPr>
        <w:t xml:space="preserve">I+D </w:t>
      </w:r>
      <w:r w:rsidR="001E4914">
        <w:rPr>
          <w:b/>
          <w:sz w:val="32"/>
        </w:rPr>
        <w:t xml:space="preserve">Orientada por </w:t>
      </w:r>
      <w:r w:rsidRPr="00AD5F9B">
        <w:rPr>
          <w:b/>
          <w:sz w:val="32"/>
        </w:rPr>
        <w:t>Misión</w:t>
      </w:r>
      <w:r w:rsidR="0089007E">
        <w:rPr>
          <w:b/>
          <w:sz w:val="32"/>
        </w:rPr>
        <w:t xml:space="preserve"> AGUA</w:t>
      </w:r>
    </w:p>
    <w:p w:rsidR="00475363" w:rsidRPr="00023933" w:rsidRDefault="0089007E" w:rsidP="00475363">
      <w:pPr>
        <w:jc w:val="center"/>
        <w:rPr>
          <w:b/>
        </w:rPr>
      </w:pPr>
      <w:r w:rsidRPr="00023933">
        <w:rPr>
          <w:b/>
        </w:rPr>
        <w:t>Misión</w:t>
      </w:r>
    </w:p>
    <w:p w:rsidR="0089007E" w:rsidRPr="00023933" w:rsidRDefault="00475363" w:rsidP="00475363">
      <w:pPr>
        <w:jc w:val="both"/>
        <w:rPr>
          <w:b/>
        </w:rPr>
      </w:pPr>
      <w:r w:rsidRPr="00023933">
        <w:rPr>
          <w:rFonts w:cs="Arial"/>
        </w:rPr>
        <w:t>Garantizar el uso sostenible del recurso agua en calidad y cantidad para la población panameña, mediante el uso de investigación aplicada que de sustento a las políticas y/o prácticas que permitan una gestión y/o uso eficiente del agua y los recursos ambientales</w:t>
      </w:r>
    </w:p>
    <w:p w:rsidR="00AD5F9B" w:rsidRPr="001E4914" w:rsidRDefault="001E4914" w:rsidP="007A2F0D">
      <w:pPr>
        <w:shd w:val="clear" w:color="auto" w:fill="D8F1EA" w:themeFill="accent4" w:themeFillTint="33"/>
        <w:jc w:val="center"/>
        <w:rPr>
          <w:sz w:val="36"/>
        </w:rPr>
      </w:pPr>
      <w:r>
        <w:rPr>
          <w:sz w:val="36"/>
        </w:rPr>
        <w:t>Fondo para Recurso Hídrico Sustentable</w:t>
      </w:r>
    </w:p>
    <w:p w:rsidR="00475363" w:rsidRPr="00475363" w:rsidRDefault="00FA7B0F" w:rsidP="00475363">
      <w:pPr>
        <w:jc w:val="both"/>
        <w:rPr>
          <w:rFonts w:cs="Arial"/>
        </w:rPr>
      </w:pPr>
      <w:r>
        <w:t xml:space="preserve">El </w:t>
      </w:r>
      <w:r w:rsidR="0089007E">
        <w:t xml:space="preserve">Objetivo </w:t>
      </w:r>
      <w:r>
        <w:t xml:space="preserve">de esta convocatoria </w:t>
      </w:r>
      <w:r w:rsidR="00475363">
        <w:t>es:</w:t>
      </w:r>
    </w:p>
    <w:p w:rsidR="00475363" w:rsidRPr="00475363" w:rsidRDefault="00475363" w:rsidP="0089380B">
      <w:pPr>
        <w:jc w:val="both"/>
      </w:pPr>
      <w:r w:rsidRPr="00475363">
        <w:rPr>
          <w:rFonts w:cs="Arial"/>
        </w:rPr>
        <w:t>Impulsar investigación científica orientada a alcanzar la “Misión Agua”; a través de grupos de</w:t>
      </w:r>
      <w:r w:rsidRPr="00475363">
        <w:rPr>
          <w:rFonts w:cs="Arial"/>
          <w:b/>
        </w:rPr>
        <w:t xml:space="preserve"> </w:t>
      </w:r>
      <w:r w:rsidRPr="00475363">
        <w:rPr>
          <w:rFonts w:cs="Arial"/>
        </w:rPr>
        <w:t>investigación multidisciplinaria e intersectoriales que busquen la solución de problemáticas nacionales a través del uso sostenible del recuro hídrico (agua)</w:t>
      </w:r>
    </w:p>
    <w:p w:rsidR="0089380B" w:rsidRDefault="0089007E" w:rsidP="0089380B">
      <w:pPr>
        <w:jc w:val="both"/>
      </w:pPr>
      <w:r>
        <w:t xml:space="preserve">Se espera que las propuestas que participen en </w:t>
      </w:r>
      <w:r w:rsidR="0089380B">
        <w:t xml:space="preserve">esta convocatoria </w:t>
      </w:r>
      <w:r>
        <w:t>sean de carácter de</w:t>
      </w:r>
      <w:r w:rsidR="0089380B">
        <w:t xml:space="preserve"> investigación</w:t>
      </w:r>
      <w:r>
        <w:t xml:space="preserve"> y</w:t>
      </w:r>
      <w:r w:rsidR="0089380B">
        <w:t xml:space="preserve"> desarrollo en el área de Recurso Hídrico Sustentable, enmarcado en el listado de proyectos identificados en el Plan Nacional de Seguridad Hídrica</w:t>
      </w:r>
      <w:r w:rsidR="007B7840">
        <w:t xml:space="preserve"> 2015-2050</w:t>
      </w:r>
      <w:r w:rsidR="0089380B">
        <w:t>. Dicho listado se constituirá en la Agenda de Prioridades para la actual convocatoria.</w:t>
      </w:r>
    </w:p>
    <w:p w:rsidR="00475363" w:rsidRPr="00023933" w:rsidRDefault="00023933" w:rsidP="00856127">
      <w:pPr>
        <w:jc w:val="both"/>
        <w:rPr>
          <w:b/>
          <w:sz w:val="2"/>
        </w:rPr>
      </w:pPr>
      <w:r>
        <w:rPr>
          <w:b/>
          <w:sz w:val="2"/>
        </w:rPr>
        <w:t>.</w:t>
      </w:r>
    </w:p>
    <w:p w:rsidR="004D1951" w:rsidRPr="004D1951" w:rsidRDefault="004D1951" w:rsidP="00856127">
      <w:pPr>
        <w:jc w:val="both"/>
        <w:rPr>
          <w:b/>
        </w:rPr>
      </w:pPr>
      <w:r w:rsidRPr="004D1951">
        <w:rPr>
          <w:b/>
        </w:rPr>
        <w:t>Antecedentes</w:t>
      </w:r>
      <w:r w:rsidR="001E4914">
        <w:rPr>
          <w:b/>
        </w:rPr>
        <w:t xml:space="preserve"> / contexto nacional</w:t>
      </w:r>
      <w:r w:rsidRPr="004D1951">
        <w:rPr>
          <w:b/>
        </w:rPr>
        <w:t>:</w:t>
      </w:r>
    </w:p>
    <w:p w:rsidR="00856127" w:rsidRDefault="00C373D8" w:rsidP="00856127">
      <w:pPr>
        <w:jc w:val="both"/>
      </w:pPr>
      <w:r>
        <w:t xml:space="preserve">Mediante Resolución de Gabinete No. 84 de 11 de agosto de 2015, se </w:t>
      </w:r>
      <w:r w:rsidR="007B7840">
        <w:t xml:space="preserve">declaró el estado de emergencia, </w:t>
      </w:r>
      <w:r>
        <w:t xml:space="preserve">con el </w:t>
      </w:r>
      <w:r w:rsidR="00856127">
        <w:t>propósito de enfrentar los impactos adversos del Fenómeno de El Niño</w:t>
      </w:r>
      <w:r w:rsidR="007B7840">
        <w:t xml:space="preserve"> al recurso hídrico</w:t>
      </w:r>
      <w:r w:rsidR="00856127">
        <w:t>, para los años 2015 y 2016 en el país.</w:t>
      </w:r>
    </w:p>
    <w:p w:rsidR="00E65064" w:rsidRDefault="00856127" w:rsidP="00856127">
      <w:pPr>
        <w:jc w:val="both"/>
      </w:pPr>
      <w:r>
        <w:t>Que el artículo 3 d</w:t>
      </w:r>
      <w:r w:rsidR="00560AA0">
        <w:t xml:space="preserve">e dicha resolución conforma un </w:t>
      </w:r>
      <w:r w:rsidR="00560AA0" w:rsidRPr="00560AA0">
        <w:rPr>
          <w:b/>
        </w:rPr>
        <w:t>Comité de A</w:t>
      </w:r>
      <w:r w:rsidRPr="00560AA0">
        <w:rPr>
          <w:b/>
        </w:rPr>
        <w:t>lto Nivel de Seguridad Hídrica</w:t>
      </w:r>
      <w:r>
        <w:t xml:space="preserve"> y se ordena a dicho comité que elabore y presente al Consejo de Gabinete, un Plan Nacional de Seguridad Hídrica 2015-2050, el cual incorpore las acciones necesarias para incrementar la seguridad </w:t>
      </w:r>
      <w:r w:rsidR="00142960">
        <w:t>hídrica ante</w:t>
      </w:r>
      <w:r>
        <w:t xml:space="preserve"> los fenómenos relacionados con el cambio climático en todas las cuencas hidrográficas.</w:t>
      </w:r>
      <w:r w:rsidR="00560AA0">
        <w:t xml:space="preserve">  </w:t>
      </w:r>
      <w:r w:rsidR="00E65064">
        <w:t>El Comité de Alto Nivel estuvo conformado por 12 instituciones</w:t>
      </w:r>
      <w:r w:rsidR="007B7840">
        <w:rPr>
          <w:rStyle w:val="Refdenotaalpie"/>
        </w:rPr>
        <w:footnoteReference w:id="1"/>
      </w:r>
      <w:r w:rsidR="00E65064">
        <w:t>:</w:t>
      </w:r>
    </w:p>
    <w:p w:rsidR="00E65064" w:rsidRDefault="00E65064" w:rsidP="00E65064">
      <w:pPr>
        <w:pStyle w:val="Prrafodelista"/>
        <w:numPr>
          <w:ilvl w:val="0"/>
          <w:numId w:val="3"/>
        </w:numPr>
        <w:jc w:val="both"/>
        <w:sectPr w:rsidR="00E65064">
          <w:pgSz w:w="12240" w:h="15840"/>
          <w:pgMar w:top="1417" w:right="1701" w:bottom="1417" w:left="1701" w:header="708" w:footer="708" w:gutter="0"/>
          <w:cols w:space="708"/>
          <w:docGrid w:linePitch="360"/>
        </w:sectPr>
      </w:pPr>
    </w:p>
    <w:p w:rsidR="00E65064" w:rsidRPr="00E65064" w:rsidRDefault="00E65064" w:rsidP="00E65064">
      <w:pPr>
        <w:pStyle w:val="Prrafodelista"/>
        <w:numPr>
          <w:ilvl w:val="0"/>
          <w:numId w:val="3"/>
        </w:numPr>
        <w:jc w:val="both"/>
        <w:rPr>
          <w:sz w:val="18"/>
        </w:rPr>
      </w:pPr>
      <w:r w:rsidRPr="00E65064">
        <w:rPr>
          <w:sz w:val="18"/>
        </w:rPr>
        <w:lastRenderedPageBreak/>
        <w:t>MI AMBIENTE</w:t>
      </w:r>
    </w:p>
    <w:p w:rsidR="00E65064" w:rsidRPr="00E65064" w:rsidRDefault="00E65064" w:rsidP="00E65064">
      <w:pPr>
        <w:pStyle w:val="Prrafodelista"/>
        <w:numPr>
          <w:ilvl w:val="0"/>
          <w:numId w:val="3"/>
        </w:numPr>
        <w:jc w:val="both"/>
        <w:rPr>
          <w:sz w:val="18"/>
        </w:rPr>
      </w:pPr>
      <w:r w:rsidRPr="00E65064">
        <w:rPr>
          <w:sz w:val="18"/>
        </w:rPr>
        <w:t>MIDA</w:t>
      </w:r>
    </w:p>
    <w:p w:rsidR="00E65064" w:rsidRPr="00E65064" w:rsidRDefault="00E65064" w:rsidP="00E65064">
      <w:pPr>
        <w:pStyle w:val="Prrafodelista"/>
        <w:numPr>
          <w:ilvl w:val="0"/>
          <w:numId w:val="3"/>
        </w:numPr>
        <w:jc w:val="both"/>
        <w:rPr>
          <w:sz w:val="18"/>
        </w:rPr>
      </w:pPr>
      <w:r w:rsidRPr="00E65064">
        <w:rPr>
          <w:sz w:val="18"/>
        </w:rPr>
        <w:t>MINSA</w:t>
      </w:r>
    </w:p>
    <w:p w:rsidR="00E65064" w:rsidRPr="00E65064" w:rsidRDefault="00E65064" w:rsidP="00E65064">
      <w:pPr>
        <w:pStyle w:val="Prrafodelista"/>
        <w:numPr>
          <w:ilvl w:val="0"/>
          <w:numId w:val="3"/>
        </w:numPr>
        <w:jc w:val="both"/>
        <w:rPr>
          <w:sz w:val="18"/>
        </w:rPr>
      </w:pPr>
      <w:r w:rsidRPr="00E65064">
        <w:rPr>
          <w:sz w:val="18"/>
        </w:rPr>
        <w:t>IDAAN</w:t>
      </w:r>
    </w:p>
    <w:p w:rsidR="00E65064" w:rsidRPr="00E65064" w:rsidRDefault="00E65064" w:rsidP="00E65064">
      <w:pPr>
        <w:pStyle w:val="Prrafodelista"/>
        <w:numPr>
          <w:ilvl w:val="0"/>
          <w:numId w:val="3"/>
        </w:numPr>
        <w:jc w:val="both"/>
        <w:rPr>
          <w:sz w:val="18"/>
        </w:rPr>
      </w:pPr>
      <w:r w:rsidRPr="00E65064">
        <w:rPr>
          <w:sz w:val="18"/>
        </w:rPr>
        <w:t>ASEP</w:t>
      </w:r>
    </w:p>
    <w:p w:rsidR="00E65064" w:rsidRPr="00E65064" w:rsidRDefault="00E65064" w:rsidP="00E65064">
      <w:pPr>
        <w:pStyle w:val="Prrafodelista"/>
        <w:numPr>
          <w:ilvl w:val="0"/>
          <w:numId w:val="3"/>
        </w:numPr>
        <w:jc w:val="both"/>
        <w:rPr>
          <w:sz w:val="18"/>
        </w:rPr>
      </w:pPr>
      <w:r w:rsidRPr="00E65064">
        <w:rPr>
          <w:sz w:val="18"/>
        </w:rPr>
        <w:t>ASUNTO DEL CANAL DE PANAMA</w:t>
      </w:r>
    </w:p>
    <w:p w:rsidR="00E65064" w:rsidRPr="00E65064" w:rsidRDefault="00E65064" w:rsidP="00E65064">
      <w:pPr>
        <w:pStyle w:val="Prrafodelista"/>
        <w:numPr>
          <w:ilvl w:val="0"/>
          <w:numId w:val="3"/>
        </w:numPr>
        <w:jc w:val="both"/>
        <w:rPr>
          <w:sz w:val="18"/>
        </w:rPr>
      </w:pPr>
      <w:r w:rsidRPr="00E65064">
        <w:rPr>
          <w:sz w:val="18"/>
        </w:rPr>
        <w:t>ACP</w:t>
      </w:r>
    </w:p>
    <w:p w:rsidR="00E65064" w:rsidRDefault="00E65064" w:rsidP="00E65064">
      <w:pPr>
        <w:pStyle w:val="Prrafodelista"/>
        <w:numPr>
          <w:ilvl w:val="0"/>
          <w:numId w:val="3"/>
        </w:numPr>
        <w:jc w:val="both"/>
        <w:rPr>
          <w:sz w:val="18"/>
        </w:rPr>
      </w:pPr>
      <w:r w:rsidRPr="00E65064">
        <w:rPr>
          <w:sz w:val="18"/>
        </w:rPr>
        <w:t>MOP</w:t>
      </w:r>
    </w:p>
    <w:p w:rsidR="00E65064" w:rsidRPr="00E65064" w:rsidRDefault="00E65064" w:rsidP="00E65064">
      <w:pPr>
        <w:pStyle w:val="Prrafodelista"/>
        <w:numPr>
          <w:ilvl w:val="0"/>
          <w:numId w:val="3"/>
        </w:numPr>
        <w:jc w:val="both"/>
        <w:rPr>
          <w:sz w:val="18"/>
        </w:rPr>
      </w:pPr>
      <w:r w:rsidRPr="00E65064">
        <w:rPr>
          <w:sz w:val="18"/>
        </w:rPr>
        <w:lastRenderedPageBreak/>
        <w:t>SINAPROC</w:t>
      </w:r>
    </w:p>
    <w:p w:rsidR="00E65064" w:rsidRPr="00E65064" w:rsidRDefault="00E65064" w:rsidP="00E65064">
      <w:pPr>
        <w:pStyle w:val="Prrafodelista"/>
        <w:numPr>
          <w:ilvl w:val="0"/>
          <w:numId w:val="3"/>
        </w:numPr>
        <w:jc w:val="both"/>
        <w:rPr>
          <w:sz w:val="18"/>
        </w:rPr>
      </w:pPr>
      <w:r w:rsidRPr="00E65064">
        <w:rPr>
          <w:sz w:val="18"/>
        </w:rPr>
        <w:t>METAS PRESIDENCIALES</w:t>
      </w:r>
    </w:p>
    <w:p w:rsidR="00E65064" w:rsidRPr="00E65064" w:rsidRDefault="00E65064" w:rsidP="00E65064">
      <w:pPr>
        <w:pStyle w:val="Prrafodelista"/>
        <w:numPr>
          <w:ilvl w:val="0"/>
          <w:numId w:val="3"/>
        </w:numPr>
        <w:jc w:val="both"/>
        <w:rPr>
          <w:sz w:val="18"/>
        </w:rPr>
      </w:pPr>
      <w:r w:rsidRPr="00E65064">
        <w:rPr>
          <w:sz w:val="18"/>
        </w:rPr>
        <w:t>CONADES</w:t>
      </w:r>
    </w:p>
    <w:p w:rsidR="00856127" w:rsidRPr="00E65064" w:rsidRDefault="00E65064" w:rsidP="00E83DD4">
      <w:pPr>
        <w:pStyle w:val="Prrafodelista"/>
        <w:numPr>
          <w:ilvl w:val="0"/>
          <w:numId w:val="3"/>
        </w:numPr>
        <w:jc w:val="both"/>
        <w:rPr>
          <w:sz w:val="18"/>
        </w:rPr>
      </w:pPr>
      <w:r w:rsidRPr="00E65064">
        <w:rPr>
          <w:sz w:val="18"/>
        </w:rPr>
        <w:t>CATHALAC</w:t>
      </w:r>
    </w:p>
    <w:p w:rsidR="00E65064" w:rsidRDefault="00E65064" w:rsidP="00E65064">
      <w:pPr>
        <w:jc w:val="both"/>
        <w:sectPr w:rsidR="00E65064" w:rsidSect="00E65064">
          <w:type w:val="continuous"/>
          <w:pgSz w:w="12240" w:h="15840"/>
          <w:pgMar w:top="1417" w:right="1701" w:bottom="1417" w:left="1701" w:header="708" w:footer="708" w:gutter="0"/>
          <w:cols w:num="2" w:space="708"/>
          <w:docGrid w:linePitch="360"/>
        </w:sectPr>
      </w:pPr>
    </w:p>
    <w:p w:rsidR="00146792" w:rsidRDefault="00856127" w:rsidP="00856127">
      <w:pPr>
        <w:jc w:val="both"/>
      </w:pPr>
      <w:r>
        <w:lastRenderedPageBreak/>
        <w:t>En Comité de Alto Nivel, estuvo asesorado por un</w:t>
      </w:r>
      <w:r w:rsidR="00FE34C5">
        <w:t xml:space="preserve"> </w:t>
      </w:r>
      <w:r w:rsidR="00FE34C5" w:rsidRPr="00560AA0">
        <w:rPr>
          <w:b/>
        </w:rPr>
        <w:t>Comité T</w:t>
      </w:r>
      <w:r w:rsidRPr="00560AA0">
        <w:rPr>
          <w:b/>
        </w:rPr>
        <w:t>écnico</w:t>
      </w:r>
      <w:r w:rsidR="00FE34C5" w:rsidRPr="00560AA0">
        <w:rPr>
          <w:b/>
        </w:rPr>
        <w:t xml:space="preserve"> Intergubernamental</w:t>
      </w:r>
      <w:r>
        <w:t xml:space="preserve">, el cual apoyo en la elaboración de las matrices de prioridades.  Este comité técnico estuvo conformado por </w:t>
      </w:r>
      <w:r w:rsidR="00FE34C5">
        <w:t>19 instituciones:</w:t>
      </w:r>
    </w:p>
    <w:p w:rsidR="00FE34C5" w:rsidRPr="00E65064" w:rsidRDefault="00FE34C5" w:rsidP="00E65064">
      <w:pPr>
        <w:pStyle w:val="Prrafodelista"/>
        <w:numPr>
          <w:ilvl w:val="0"/>
          <w:numId w:val="2"/>
        </w:numPr>
        <w:jc w:val="both"/>
        <w:rPr>
          <w:sz w:val="18"/>
        </w:rPr>
      </w:pPr>
      <w:r w:rsidRPr="00E65064">
        <w:rPr>
          <w:sz w:val="18"/>
        </w:rPr>
        <w:t>MIAMBIENTE</w:t>
      </w:r>
    </w:p>
    <w:p w:rsidR="00FE34C5" w:rsidRPr="00E65064" w:rsidRDefault="00FE34C5" w:rsidP="00E65064">
      <w:pPr>
        <w:pStyle w:val="Prrafodelista"/>
        <w:numPr>
          <w:ilvl w:val="0"/>
          <w:numId w:val="2"/>
        </w:numPr>
        <w:jc w:val="both"/>
        <w:rPr>
          <w:sz w:val="18"/>
        </w:rPr>
      </w:pPr>
      <w:r w:rsidRPr="00E65064">
        <w:rPr>
          <w:sz w:val="18"/>
        </w:rPr>
        <w:t>MIDA</w:t>
      </w:r>
    </w:p>
    <w:p w:rsidR="00FE34C5" w:rsidRPr="00E65064" w:rsidRDefault="00FE34C5" w:rsidP="00E65064">
      <w:pPr>
        <w:pStyle w:val="Prrafodelista"/>
        <w:numPr>
          <w:ilvl w:val="0"/>
          <w:numId w:val="2"/>
        </w:numPr>
        <w:jc w:val="both"/>
        <w:rPr>
          <w:sz w:val="18"/>
        </w:rPr>
      </w:pPr>
      <w:r w:rsidRPr="00E65064">
        <w:rPr>
          <w:sz w:val="18"/>
        </w:rPr>
        <w:t>MINSA</w:t>
      </w:r>
    </w:p>
    <w:p w:rsidR="00FE34C5" w:rsidRPr="00E65064" w:rsidRDefault="00FE34C5" w:rsidP="00E65064">
      <w:pPr>
        <w:pStyle w:val="Prrafodelista"/>
        <w:numPr>
          <w:ilvl w:val="0"/>
          <w:numId w:val="2"/>
        </w:numPr>
        <w:jc w:val="both"/>
        <w:rPr>
          <w:sz w:val="18"/>
        </w:rPr>
      </w:pPr>
      <w:r w:rsidRPr="00E65064">
        <w:rPr>
          <w:sz w:val="18"/>
        </w:rPr>
        <w:t>SANEAMIENTO DE LA BAHIA</w:t>
      </w:r>
    </w:p>
    <w:p w:rsidR="00FE34C5" w:rsidRPr="00E65064" w:rsidRDefault="00FE34C5" w:rsidP="00E65064">
      <w:pPr>
        <w:pStyle w:val="Prrafodelista"/>
        <w:numPr>
          <w:ilvl w:val="0"/>
          <w:numId w:val="2"/>
        </w:numPr>
        <w:jc w:val="both"/>
        <w:rPr>
          <w:sz w:val="18"/>
        </w:rPr>
      </w:pPr>
      <w:r w:rsidRPr="00E65064">
        <w:rPr>
          <w:sz w:val="18"/>
        </w:rPr>
        <w:t>ASEP</w:t>
      </w:r>
    </w:p>
    <w:p w:rsidR="00FE34C5" w:rsidRPr="00E65064" w:rsidRDefault="00FE34C5" w:rsidP="00E65064">
      <w:pPr>
        <w:pStyle w:val="Prrafodelista"/>
        <w:numPr>
          <w:ilvl w:val="0"/>
          <w:numId w:val="2"/>
        </w:numPr>
        <w:jc w:val="both"/>
        <w:rPr>
          <w:sz w:val="18"/>
        </w:rPr>
      </w:pPr>
      <w:r w:rsidRPr="00E65064">
        <w:rPr>
          <w:sz w:val="18"/>
        </w:rPr>
        <w:t>ACP</w:t>
      </w:r>
    </w:p>
    <w:p w:rsidR="00FE34C5" w:rsidRPr="00E65064" w:rsidRDefault="00FE34C5" w:rsidP="00E65064">
      <w:pPr>
        <w:pStyle w:val="Prrafodelista"/>
        <w:numPr>
          <w:ilvl w:val="0"/>
          <w:numId w:val="2"/>
        </w:numPr>
        <w:jc w:val="both"/>
        <w:rPr>
          <w:sz w:val="18"/>
        </w:rPr>
      </w:pPr>
      <w:r w:rsidRPr="00E65064">
        <w:rPr>
          <w:sz w:val="18"/>
        </w:rPr>
        <w:t>CATHALAC</w:t>
      </w:r>
    </w:p>
    <w:p w:rsidR="00FE34C5" w:rsidRPr="00E65064" w:rsidRDefault="00FE34C5" w:rsidP="00E65064">
      <w:pPr>
        <w:pStyle w:val="Prrafodelista"/>
        <w:numPr>
          <w:ilvl w:val="0"/>
          <w:numId w:val="2"/>
        </w:numPr>
        <w:jc w:val="both"/>
        <w:rPr>
          <w:sz w:val="18"/>
        </w:rPr>
      </w:pPr>
      <w:r w:rsidRPr="00E65064">
        <w:rPr>
          <w:sz w:val="18"/>
        </w:rPr>
        <w:t>ETESA</w:t>
      </w:r>
    </w:p>
    <w:p w:rsidR="00FE34C5" w:rsidRPr="00E65064" w:rsidRDefault="00FE34C5" w:rsidP="00E65064">
      <w:pPr>
        <w:pStyle w:val="Prrafodelista"/>
        <w:numPr>
          <w:ilvl w:val="0"/>
          <w:numId w:val="2"/>
        </w:numPr>
        <w:jc w:val="both"/>
        <w:rPr>
          <w:sz w:val="18"/>
        </w:rPr>
      </w:pPr>
      <w:r w:rsidRPr="00E65064">
        <w:rPr>
          <w:sz w:val="18"/>
        </w:rPr>
        <w:t>IDAAN</w:t>
      </w:r>
    </w:p>
    <w:p w:rsidR="00FE34C5" w:rsidRPr="00E65064" w:rsidRDefault="00FE34C5" w:rsidP="00E65064">
      <w:pPr>
        <w:pStyle w:val="Prrafodelista"/>
        <w:numPr>
          <w:ilvl w:val="0"/>
          <w:numId w:val="2"/>
        </w:numPr>
        <w:jc w:val="both"/>
        <w:rPr>
          <w:sz w:val="18"/>
        </w:rPr>
      </w:pPr>
      <w:r w:rsidRPr="00E65064">
        <w:rPr>
          <w:sz w:val="18"/>
        </w:rPr>
        <w:t>MEDUCA</w:t>
      </w:r>
    </w:p>
    <w:p w:rsidR="00FE34C5" w:rsidRPr="00E65064" w:rsidRDefault="00FE34C5" w:rsidP="00E65064">
      <w:pPr>
        <w:pStyle w:val="Prrafodelista"/>
        <w:numPr>
          <w:ilvl w:val="0"/>
          <w:numId w:val="2"/>
        </w:numPr>
        <w:jc w:val="both"/>
        <w:rPr>
          <w:sz w:val="18"/>
        </w:rPr>
      </w:pPr>
      <w:r w:rsidRPr="00E65064">
        <w:rPr>
          <w:sz w:val="18"/>
        </w:rPr>
        <w:t>MIVIOT</w:t>
      </w:r>
    </w:p>
    <w:p w:rsidR="00FE34C5" w:rsidRPr="00E65064" w:rsidRDefault="00FE34C5" w:rsidP="00E65064">
      <w:pPr>
        <w:pStyle w:val="Prrafodelista"/>
        <w:numPr>
          <w:ilvl w:val="0"/>
          <w:numId w:val="2"/>
        </w:numPr>
        <w:jc w:val="both"/>
        <w:rPr>
          <w:sz w:val="18"/>
        </w:rPr>
      </w:pPr>
      <w:r w:rsidRPr="00E65064">
        <w:rPr>
          <w:sz w:val="18"/>
        </w:rPr>
        <w:t>MOP</w:t>
      </w:r>
    </w:p>
    <w:p w:rsidR="00FE34C5" w:rsidRPr="00E65064" w:rsidRDefault="00E65064" w:rsidP="00E65064">
      <w:pPr>
        <w:pStyle w:val="Prrafodelista"/>
        <w:numPr>
          <w:ilvl w:val="0"/>
          <w:numId w:val="2"/>
        </w:numPr>
        <w:jc w:val="both"/>
        <w:rPr>
          <w:sz w:val="18"/>
        </w:rPr>
      </w:pPr>
      <w:r>
        <w:rPr>
          <w:sz w:val="18"/>
        </w:rPr>
        <w:t>SECRETARIA</w:t>
      </w:r>
      <w:r w:rsidR="00FE34C5" w:rsidRPr="00E65064">
        <w:rPr>
          <w:sz w:val="18"/>
        </w:rPr>
        <w:t xml:space="preserve"> DE ENERGIA</w:t>
      </w:r>
    </w:p>
    <w:p w:rsidR="00FE34C5" w:rsidRPr="007B7840" w:rsidRDefault="00FE34C5" w:rsidP="00E65064">
      <w:pPr>
        <w:pStyle w:val="Prrafodelista"/>
        <w:numPr>
          <w:ilvl w:val="0"/>
          <w:numId w:val="2"/>
        </w:numPr>
        <w:jc w:val="both"/>
        <w:rPr>
          <w:sz w:val="18"/>
        </w:rPr>
      </w:pPr>
      <w:r w:rsidRPr="007B7840">
        <w:rPr>
          <w:sz w:val="18"/>
        </w:rPr>
        <w:t>SENACYT</w:t>
      </w:r>
    </w:p>
    <w:p w:rsidR="00FE34C5" w:rsidRPr="00E65064" w:rsidRDefault="00FE34C5" w:rsidP="00E65064">
      <w:pPr>
        <w:pStyle w:val="Prrafodelista"/>
        <w:numPr>
          <w:ilvl w:val="0"/>
          <w:numId w:val="2"/>
        </w:numPr>
        <w:jc w:val="both"/>
        <w:rPr>
          <w:sz w:val="18"/>
        </w:rPr>
      </w:pPr>
      <w:r w:rsidRPr="00E65064">
        <w:rPr>
          <w:sz w:val="18"/>
        </w:rPr>
        <w:t>SINAPROC</w:t>
      </w:r>
    </w:p>
    <w:p w:rsidR="00FE34C5" w:rsidRPr="00E65064" w:rsidRDefault="00FE34C5" w:rsidP="00E65064">
      <w:pPr>
        <w:pStyle w:val="Prrafodelista"/>
        <w:numPr>
          <w:ilvl w:val="0"/>
          <w:numId w:val="2"/>
        </w:numPr>
        <w:jc w:val="both"/>
        <w:rPr>
          <w:sz w:val="18"/>
        </w:rPr>
      </w:pPr>
      <w:r w:rsidRPr="00E65064">
        <w:rPr>
          <w:sz w:val="18"/>
        </w:rPr>
        <w:t>UNIV. DE PANAMA</w:t>
      </w:r>
    </w:p>
    <w:p w:rsidR="00FE34C5" w:rsidRPr="00E65064" w:rsidRDefault="00FE34C5" w:rsidP="00E65064">
      <w:pPr>
        <w:pStyle w:val="Prrafodelista"/>
        <w:numPr>
          <w:ilvl w:val="0"/>
          <w:numId w:val="2"/>
        </w:numPr>
        <w:jc w:val="both"/>
        <w:rPr>
          <w:sz w:val="18"/>
        </w:rPr>
      </w:pPr>
      <w:r w:rsidRPr="00E65064">
        <w:rPr>
          <w:sz w:val="18"/>
        </w:rPr>
        <w:t>UNIV. TECNOLOGICA DE PANAMA</w:t>
      </w:r>
    </w:p>
    <w:p w:rsidR="00FE34C5" w:rsidRPr="00E65064" w:rsidRDefault="00FE34C5" w:rsidP="00E65064">
      <w:pPr>
        <w:pStyle w:val="Prrafodelista"/>
        <w:numPr>
          <w:ilvl w:val="0"/>
          <w:numId w:val="2"/>
        </w:numPr>
        <w:jc w:val="both"/>
        <w:rPr>
          <w:sz w:val="18"/>
        </w:rPr>
      </w:pPr>
      <w:r w:rsidRPr="00E65064">
        <w:rPr>
          <w:sz w:val="18"/>
        </w:rPr>
        <w:t>ATP</w:t>
      </w:r>
    </w:p>
    <w:p w:rsidR="00FE34C5" w:rsidRPr="00E65064" w:rsidRDefault="00FE34C5" w:rsidP="00E65064">
      <w:pPr>
        <w:pStyle w:val="Prrafodelista"/>
        <w:numPr>
          <w:ilvl w:val="0"/>
          <w:numId w:val="2"/>
        </w:numPr>
        <w:jc w:val="both"/>
        <w:rPr>
          <w:sz w:val="18"/>
        </w:rPr>
      </w:pPr>
      <w:r w:rsidRPr="00E65064">
        <w:rPr>
          <w:sz w:val="18"/>
        </w:rPr>
        <w:t>METAS PRESIDENCIALES</w:t>
      </w:r>
    </w:p>
    <w:p w:rsidR="00FE34C5" w:rsidRPr="00E65064" w:rsidRDefault="00FE34C5" w:rsidP="00FE34C5">
      <w:pPr>
        <w:jc w:val="both"/>
        <w:rPr>
          <w:sz w:val="18"/>
        </w:rPr>
      </w:pPr>
    </w:p>
    <w:p w:rsidR="00560AA0" w:rsidRDefault="00560AA0" w:rsidP="00856127">
      <w:pPr>
        <w:jc w:val="both"/>
      </w:pPr>
      <w:r>
        <w:t xml:space="preserve">Como parte del Plan de Seguridad Hídrica, se establecen 5 Retos nacionales </w:t>
      </w:r>
      <w:r w:rsidR="007B7840">
        <w:t>y 5 me</w:t>
      </w:r>
      <w:r>
        <w:t>tas relacionadas:</w:t>
      </w:r>
    </w:p>
    <w:tbl>
      <w:tblPr>
        <w:tblStyle w:val="Tabladecuadrcula2-nfasis6"/>
        <w:tblW w:w="0" w:type="auto"/>
        <w:tblLook w:val="04A0" w:firstRow="1" w:lastRow="0" w:firstColumn="1" w:lastColumn="0" w:noHBand="0" w:noVBand="1"/>
      </w:tblPr>
      <w:tblGrid>
        <w:gridCol w:w="4414"/>
        <w:gridCol w:w="4414"/>
      </w:tblGrid>
      <w:tr w:rsidR="00560AA0" w:rsidTr="00560A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560AA0" w:rsidRDefault="00560AA0" w:rsidP="00856127">
            <w:pPr>
              <w:jc w:val="both"/>
            </w:pPr>
          </w:p>
        </w:tc>
        <w:tc>
          <w:tcPr>
            <w:tcW w:w="4414" w:type="dxa"/>
          </w:tcPr>
          <w:p w:rsidR="00560AA0" w:rsidRPr="00560AA0" w:rsidRDefault="00560AA0" w:rsidP="00560AA0">
            <w:pPr>
              <w:jc w:val="both"/>
              <w:cnfStyle w:val="100000000000" w:firstRow="1" w:lastRow="0" w:firstColumn="0" w:lastColumn="0" w:oddVBand="0" w:evenVBand="0" w:oddHBand="0" w:evenHBand="0" w:firstRowFirstColumn="0" w:firstRowLastColumn="0" w:lastRowFirstColumn="0" w:lastRowLastColumn="0"/>
            </w:pPr>
          </w:p>
        </w:tc>
      </w:tr>
      <w:tr w:rsidR="00560AA0" w:rsidTr="00560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560AA0" w:rsidRPr="00560AA0" w:rsidRDefault="00560AA0" w:rsidP="00560AA0">
            <w:pPr>
              <w:rPr>
                <w:b w:val="0"/>
              </w:rPr>
            </w:pPr>
            <w:r w:rsidRPr="00560AA0">
              <w:t>Reto No. 1:</w:t>
            </w:r>
            <w:r>
              <w:t xml:space="preserve"> </w:t>
            </w:r>
            <w:r w:rsidRPr="00560AA0">
              <w:rPr>
                <w:b w:val="0"/>
              </w:rPr>
              <w:t>Alcanzar el 100% de la cobertura sostenida con agua de calidad y servicios básicos</w:t>
            </w:r>
          </w:p>
          <w:p w:rsidR="00560AA0" w:rsidRDefault="00560AA0" w:rsidP="00560AA0"/>
        </w:tc>
        <w:tc>
          <w:tcPr>
            <w:tcW w:w="4414" w:type="dxa"/>
          </w:tcPr>
          <w:p w:rsidR="00560AA0" w:rsidRPr="00560AA0" w:rsidRDefault="00560AA0" w:rsidP="007B784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60AA0">
              <w:rPr>
                <w:rFonts w:asciiTheme="minorHAnsi" w:hAnsiTheme="minorHAnsi" w:cstheme="minorBidi"/>
                <w:b/>
                <w:color w:val="auto"/>
                <w:sz w:val="22"/>
                <w:szCs w:val="22"/>
              </w:rPr>
              <w:t>Meta N°1:</w:t>
            </w:r>
            <w:r w:rsidR="007B7840">
              <w:rPr>
                <w:rFonts w:asciiTheme="minorHAnsi" w:hAnsiTheme="minorHAnsi" w:cstheme="minorBidi"/>
                <w:color w:val="auto"/>
                <w:sz w:val="22"/>
                <w:szCs w:val="22"/>
              </w:rPr>
              <w:t xml:space="preserve"> </w:t>
            </w:r>
            <w:r w:rsidR="001E3F0C">
              <w:rPr>
                <w:rFonts w:asciiTheme="minorHAnsi" w:hAnsiTheme="minorHAnsi" w:cstheme="minorBidi"/>
                <w:color w:val="auto"/>
                <w:sz w:val="22"/>
                <w:szCs w:val="22"/>
              </w:rPr>
              <w:t>Lograr el a</w:t>
            </w:r>
            <w:r w:rsidRPr="00560AA0">
              <w:rPr>
                <w:rFonts w:asciiTheme="minorHAnsi" w:hAnsiTheme="minorHAnsi" w:cstheme="minorBidi"/>
                <w:color w:val="auto"/>
                <w:sz w:val="22"/>
                <w:szCs w:val="22"/>
              </w:rPr>
              <w:t xml:space="preserve">cceso universal al agua de calidad y servicio de saneamiento básico </w:t>
            </w:r>
          </w:p>
        </w:tc>
      </w:tr>
      <w:tr w:rsidR="00560AA0" w:rsidTr="00560AA0">
        <w:tc>
          <w:tcPr>
            <w:cnfStyle w:val="001000000000" w:firstRow="0" w:lastRow="0" w:firstColumn="1" w:lastColumn="0" w:oddVBand="0" w:evenVBand="0" w:oddHBand="0" w:evenHBand="0" w:firstRowFirstColumn="0" w:firstRowLastColumn="0" w:lastRowFirstColumn="0" w:lastRowLastColumn="0"/>
            <w:tcW w:w="4414" w:type="dxa"/>
          </w:tcPr>
          <w:p w:rsidR="00560AA0" w:rsidRPr="00560AA0" w:rsidRDefault="00560AA0" w:rsidP="00560AA0">
            <w:pPr>
              <w:rPr>
                <w:b w:val="0"/>
              </w:rPr>
            </w:pPr>
            <w:r w:rsidRPr="00560AA0">
              <w:t>Reto No. 2:</w:t>
            </w:r>
            <w:r w:rsidRPr="00560AA0">
              <w:rPr>
                <w:b w:val="0"/>
              </w:rPr>
              <w:t xml:space="preserve"> Garantizar nuestra seguridad hídrica en un clima cambiante</w:t>
            </w:r>
          </w:p>
          <w:p w:rsidR="00560AA0" w:rsidRDefault="00560AA0" w:rsidP="00560AA0"/>
        </w:tc>
        <w:tc>
          <w:tcPr>
            <w:tcW w:w="4414" w:type="dxa"/>
          </w:tcPr>
          <w:p w:rsidR="00560AA0" w:rsidRPr="00560AA0" w:rsidRDefault="00560AA0" w:rsidP="00560AA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60AA0">
              <w:rPr>
                <w:rFonts w:asciiTheme="minorHAnsi" w:hAnsiTheme="minorHAnsi"/>
                <w:b/>
                <w:color w:val="auto"/>
                <w:sz w:val="22"/>
                <w:szCs w:val="22"/>
              </w:rPr>
              <w:t>Meta N°2:</w:t>
            </w:r>
            <w:r w:rsidRPr="00560AA0">
              <w:rPr>
                <w:rFonts w:asciiTheme="minorHAnsi" w:hAnsiTheme="minorHAnsi"/>
                <w:color w:val="auto"/>
                <w:sz w:val="22"/>
                <w:szCs w:val="22"/>
              </w:rPr>
              <w:t xml:space="preserve"> Dispon</w:t>
            </w:r>
            <w:r w:rsidR="001E3F0C">
              <w:rPr>
                <w:rFonts w:asciiTheme="minorHAnsi" w:hAnsiTheme="minorHAnsi"/>
                <w:color w:val="auto"/>
                <w:sz w:val="22"/>
                <w:szCs w:val="22"/>
              </w:rPr>
              <w:t xml:space="preserve">ibilidad </w:t>
            </w:r>
            <w:r w:rsidRPr="00560AA0">
              <w:rPr>
                <w:rFonts w:asciiTheme="minorHAnsi" w:hAnsiTheme="minorHAnsi"/>
                <w:color w:val="auto"/>
                <w:sz w:val="22"/>
                <w:szCs w:val="22"/>
              </w:rPr>
              <w:t xml:space="preserve">de agua para todos los sectores de la economía </w:t>
            </w:r>
          </w:p>
          <w:p w:rsidR="00560AA0" w:rsidRPr="00560AA0" w:rsidRDefault="00560AA0" w:rsidP="00560AA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560AA0" w:rsidTr="00560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560AA0" w:rsidRPr="00560AA0" w:rsidRDefault="00560AA0" w:rsidP="00560AA0">
            <w:pPr>
              <w:rPr>
                <w:b w:val="0"/>
              </w:rPr>
            </w:pPr>
            <w:r w:rsidRPr="00560AA0">
              <w:t>Reto No 3:</w:t>
            </w:r>
            <w:r w:rsidRPr="00560AA0">
              <w:rPr>
                <w:b w:val="0"/>
              </w:rPr>
              <w:t xml:space="preserve"> Restaurar y mantener saludable las 52 cuencas hidrográficas del país.</w:t>
            </w:r>
          </w:p>
          <w:p w:rsidR="00560AA0" w:rsidRDefault="00560AA0" w:rsidP="00560AA0"/>
        </w:tc>
        <w:tc>
          <w:tcPr>
            <w:tcW w:w="4414" w:type="dxa"/>
          </w:tcPr>
          <w:p w:rsidR="00560AA0" w:rsidRPr="00560AA0" w:rsidRDefault="00560AA0" w:rsidP="00560AA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560AA0">
              <w:rPr>
                <w:rFonts w:asciiTheme="minorHAnsi" w:hAnsiTheme="minorHAnsi"/>
                <w:b/>
                <w:color w:val="auto"/>
                <w:sz w:val="22"/>
                <w:szCs w:val="22"/>
              </w:rPr>
              <w:t>Meta N°3:</w:t>
            </w:r>
            <w:r w:rsidRPr="00560AA0">
              <w:rPr>
                <w:rFonts w:asciiTheme="minorHAnsi" w:hAnsiTheme="minorHAnsi"/>
                <w:color w:val="auto"/>
                <w:sz w:val="22"/>
                <w:szCs w:val="22"/>
              </w:rPr>
              <w:t xml:space="preserve"> </w:t>
            </w:r>
            <w:r w:rsidR="001E3F0C">
              <w:rPr>
                <w:rFonts w:asciiTheme="minorHAnsi" w:hAnsiTheme="minorHAnsi"/>
                <w:color w:val="auto"/>
                <w:sz w:val="22"/>
                <w:szCs w:val="22"/>
              </w:rPr>
              <w:t>Gestión del agua para el crecimiento económico inclusivo.</w:t>
            </w:r>
            <w:r w:rsidRPr="00560AA0">
              <w:rPr>
                <w:rFonts w:asciiTheme="minorHAnsi" w:hAnsiTheme="minorHAnsi"/>
                <w:color w:val="auto"/>
                <w:sz w:val="22"/>
                <w:szCs w:val="22"/>
              </w:rPr>
              <w:t xml:space="preserve"> </w:t>
            </w:r>
          </w:p>
          <w:p w:rsidR="00560AA0" w:rsidRPr="00560AA0" w:rsidRDefault="00560AA0" w:rsidP="00560AA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560AA0" w:rsidTr="00560AA0">
        <w:tc>
          <w:tcPr>
            <w:cnfStyle w:val="001000000000" w:firstRow="0" w:lastRow="0" w:firstColumn="1" w:lastColumn="0" w:oddVBand="0" w:evenVBand="0" w:oddHBand="0" w:evenHBand="0" w:firstRowFirstColumn="0" w:firstRowLastColumn="0" w:lastRowFirstColumn="0" w:lastRowLastColumn="0"/>
            <w:tcW w:w="4414" w:type="dxa"/>
          </w:tcPr>
          <w:p w:rsidR="00560AA0" w:rsidRPr="00560AA0" w:rsidRDefault="00560AA0" w:rsidP="00560AA0">
            <w:pPr>
              <w:rPr>
                <w:b w:val="0"/>
              </w:rPr>
            </w:pPr>
            <w:r w:rsidRPr="00560AA0">
              <w:t>Reto No. 4:</w:t>
            </w:r>
            <w:r w:rsidRPr="00560AA0">
              <w:rPr>
                <w:b w:val="0"/>
              </w:rPr>
              <w:t xml:space="preserve"> Mantener en condiciones funcionales la creciente infraestructura nacional de agua y saneamiento.</w:t>
            </w:r>
          </w:p>
          <w:p w:rsidR="00560AA0" w:rsidRDefault="00560AA0" w:rsidP="00560AA0"/>
        </w:tc>
        <w:tc>
          <w:tcPr>
            <w:tcW w:w="4414" w:type="dxa"/>
          </w:tcPr>
          <w:p w:rsidR="00560AA0" w:rsidRPr="00560AA0" w:rsidRDefault="00560AA0" w:rsidP="00560AA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560AA0">
              <w:rPr>
                <w:rFonts w:asciiTheme="minorHAnsi" w:hAnsiTheme="minorHAnsi"/>
                <w:b/>
                <w:color w:val="auto"/>
                <w:sz w:val="22"/>
                <w:szCs w:val="22"/>
              </w:rPr>
              <w:t>Meta N°4:</w:t>
            </w:r>
            <w:r w:rsidRPr="00560AA0">
              <w:rPr>
                <w:rFonts w:asciiTheme="minorHAnsi" w:hAnsiTheme="minorHAnsi"/>
                <w:color w:val="auto"/>
                <w:sz w:val="22"/>
                <w:szCs w:val="22"/>
              </w:rPr>
              <w:t xml:space="preserve"> </w:t>
            </w:r>
            <w:r w:rsidR="001E3F0C">
              <w:rPr>
                <w:rFonts w:asciiTheme="minorHAnsi" w:hAnsiTheme="minorHAnsi"/>
                <w:color w:val="auto"/>
                <w:sz w:val="22"/>
                <w:szCs w:val="22"/>
              </w:rPr>
              <w:t xml:space="preserve">Manejo sostenible y saludable de las </w:t>
            </w:r>
            <w:r w:rsidRPr="00560AA0">
              <w:rPr>
                <w:rFonts w:asciiTheme="minorHAnsi" w:hAnsiTheme="minorHAnsi"/>
                <w:color w:val="auto"/>
                <w:sz w:val="22"/>
                <w:szCs w:val="22"/>
              </w:rPr>
              <w:t>52 c</w:t>
            </w:r>
            <w:r w:rsidR="001E3F0C">
              <w:rPr>
                <w:rFonts w:asciiTheme="minorHAnsi" w:hAnsiTheme="minorHAnsi"/>
                <w:color w:val="auto"/>
                <w:sz w:val="22"/>
                <w:szCs w:val="22"/>
              </w:rPr>
              <w:t>uencas hidrográficas del país.</w:t>
            </w:r>
          </w:p>
          <w:p w:rsidR="00560AA0" w:rsidRPr="00560AA0" w:rsidRDefault="00560AA0" w:rsidP="00560AA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560AA0" w:rsidTr="00560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560AA0" w:rsidRPr="00560AA0" w:rsidRDefault="00560AA0" w:rsidP="00560AA0">
            <w:pPr>
              <w:rPr>
                <w:b w:val="0"/>
              </w:rPr>
            </w:pPr>
            <w:r w:rsidRPr="00560AA0">
              <w:t>Reto No. 5:</w:t>
            </w:r>
            <w:r w:rsidRPr="00560AA0">
              <w:rPr>
                <w:b w:val="0"/>
              </w:rPr>
              <w:t xml:space="preserve"> Evolucionar hacia una cultura de uso responsable y compartido del agua.</w:t>
            </w:r>
          </w:p>
          <w:p w:rsidR="00560AA0" w:rsidRDefault="00560AA0" w:rsidP="00560AA0"/>
        </w:tc>
        <w:tc>
          <w:tcPr>
            <w:tcW w:w="4414" w:type="dxa"/>
          </w:tcPr>
          <w:p w:rsidR="00560AA0" w:rsidRPr="00560AA0" w:rsidRDefault="00560AA0" w:rsidP="00560AA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560AA0">
              <w:rPr>
                <w:rFonts w:asciiTheme="minorHAnsi" w:hAnsiTheme="minorHAnsi"/>
                <w:b/>
                <w:color w:val="auto"/>
                <w:sz w:val="22"/>
                <w:szCs w:val="22"/>
              </w:rPr>
              <w:t>Meta N°5:</w:t>
            </w:r>
            <w:r w:rsidRPr="00560AA0">
              <w:rPr>
                <w:rFonts w:asciiTheme="minorHAnsi" w:hAnsiTheme="minorHAnsi"/>
                <w:color w:val="auto"/>
                <w:sz w:val="22"/>
                <w:szCs w:val="22"/>
              </w:rPr>
              <w:t xml:space="preserve"> Sostenibilidad hídrica </w:t>
            </w:r>
          </w:p>
          <w:p w:rsidR="00560AA0" w:rsidRPr="00560AA0" w:rsidRDefault="00560AA0" w:rsidP="00560AA0">
            <w:pPr>
              <w:jc w:val="both"/>
              <w:cnfStyle w:val="000000100000" w:firstRow="0" w:lastRow="0" w:firstColumn="0" w:lastColumn="0" w:oddVBand="0" w:evenVBand="0" w:oddHBand="1" w:evenHBand="0" w:firstRowFirstColumn="0" w:firstRowLastColumn="0" w:lastRowFirstColumn="0" w:lastRowLastColumn="0"/>
            </w:pPr>
          </w:p>
        </w:tc>
      </w:tr>
    </w:tbl>
    <w:p w:rsidR="00560AA0" w:rsidRDefault="00560AA0" w:rsidP="00856127">
      <w:pPr>
        <w:jc w:val="both"/>
      </w:pPr>
    </w:p>
    <w:p w:rsidR="004D1951" w:rsidRDefault="00560AA0" w:rsidP="00AD5F9B">
      <w:r>
        <w:lastRenderedPageBreak/>
        <w:t>Para cada una de las metas, se establecieron un list</w:t>
      </w:r>
      <w:r w:rsidR="00C8302F">
        <w:t>ado de principales proyectos para alcanzar dichas metas.</w:t>
      </w:r>
    </w:p>
    <w:p w:rsidR="00C8302F" w:rsidRDefault="00C8302F" w:rsidP="00AD5F9B"/>
    <w:p w:rsidR="001E4914" w:rsidRPr="004D1951" w:rsidRDefault="001E4914" w:rsidP="001E4914">
      <w:pPr>
        <w:jc w:val="both"/>
        <w:rPr>
          <w:b/>
        </w:rPr>
      </w:pPr>
      <w:r>
        <w:rPr>
          <w:b/>
        </w:rPr>
        <w:t>Establecimiento de Agenda</w:t>
      </w:r>
      <w:r w:rsidR="007A2F0D">
        <w:rPr>
          <w:b/>
        </w:rPr>
        <w:t xml:space="preserve"> para Investigación Científica</w:t>
      </w:r>
      <w:r w:rsidRPr="004D1951">
        <w:rPr>
          <w:b/>
        </w:rPr>
        <w:t>:</w:t>
      </w:r>
    </w:p>
    <w:p w:rsidR="004D1951" w:rsidRDefault="004D1951" w:rsidP="00AD5F9B">
      <w:r>
        <w:t xml:space="preserve">En el caso de Investigación y Desarrollo, se </w:t>
      </w:r>
      <w:r w:rsidR="004A3C71">
        <w:t>establecieron un total de 11</w:t>
      </w:r>
      <w:r>
        <w:t xml:space="preserve"> proyectos a nivel nacional:</w:t>
      </w:r>
    </w:p>
    <w:tbl>
      <w:tblPr>
        <w:tblStyle w:val="Tabladecuadrcula2-nfasis6"/>
        <w:tblpPr w:leftFromText="141" w:rightFromText="141" w:vertAnchor="text" w:horzAnchor="margin" w:tblpXSpec="center" w:tblpY="23"/>
        <w:tblW w:w="7513" w:type="dxa"/>
        <w:tblLook w:val="04A0" w:firstRow="1" w:lastRow="0" w:firstColumn="1" w:lastColumn="0" w:noHBand="0" w:noVBand="1"/>
      </w:tblPr>
      <w:tblGrid>
        <w:gridCol w:w="440"/>
        <w:gridCol w:w="7073"/>
      </w:tblGrid>
      <w:tr w:rsidR="004D1951" w:rsidRPr="00C8302F" w:rsidTr="004D1951">
        <w:trPr>
          <w:cnfStyle w:val="100000000000" w:firstRow="1" w:lastRow="0" w:firstColumn="0" w:lastColumn="0" w:oddVBand="0" w:evenVBand="0" w:oddHBand="0"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440" w:type="dxa"/>
          </w:tcPr>
          <w:p w:rsidR="004D1951" w:rsidRPr="00C8302F" w:rsidRDefault="004D1951" w:rsidP="004D1951">
            <w:pPr>
              <w:rPr>
                <w:rFonts w:ascii="Calibri" w:eastAsia="Times New Roman" w:hAnsi="Calibri" w:cs="Times New Roman"/>
                <w:b w:val="0"/>
                <w:lang w:eastAsia="es-PA"/>
              </w:rPr>
            </w:pPr>
            <w:r>
              <w:rPr>
                <w:rFonts w:ascii="Calibri" w:eastAsia="Times New Roman" w:hAnsi="Calibri" w:cs="Times New Roman"/>
                <w:b w:val="0"/>
                <w:lang w:eastAsia="es-PA"/>
              </w:rPr>
              <w:t>1</w:t>
            </w:r>
          </w:p>
        </w:tc>
        <w:tc>
          <w:tcPr>
            <w:tcW w:w="7073" w:type="dxa"/>
            <w:hideMark/>
          </w:tcPr>
          <w:p w:rsidR="004D1951" w:rsidRPr="00C8302F" w:rsidRDefault="004D1951" w:rsidP="004D195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lang w:eastAsia="es-PA"/>
              </w:rPr>
            </w:pPr>
            <w:r w:rsidRPr="00C8302F">
              <w:rPr>
                <w:rFonts w:ascii="Calibri" w:eastAsia="Times New Roman" w:hAnsi="Calibri" w:cs="Times New Roman"/>
                <w:b w:val="0"/>
                <w:lang w:eastAsia="es-PA"/>
              </w:rPr>
              <w:t xml:space="preserve">Modelos de predicción en tiempo real de caudales y precipitación en las principales cuencas (SENACYT) </w:t>
            </w:r>
          </w:p>
        </w:tc>
      </w:tr>
      <w:tr w:rsidR="004D1951" w:rsidRPr="00C8302F" w:rsidTr="004D1951">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40" w:type="dxa"/>
          </w:tcPr>
          <w:p w:rsidR="004D1951" w:rsidRPr="00C8302F" w:rsidRDefault="004D1951" w:rsidP="004D1951">
            <w:pPr>
              <w:rPr>
                <w:rFonts w:ascii="Calibri" w:eastAsia="Times New Roman" w:hAnsi="Calibri" w:cs="Times New Roman"/>
                <w:b w:val="0"/>
                <w:lang w:eastAsia="es-PA"/>
              </w:rPr>
            </w:pPr>
            <w:r>
              <w:rPr>
                <w:rFonts w:ascii="Calibri" w:eastAsia="Times New Roman" w:hAnsi="Calibri" w:cs="Times New Roman"/>
                <w:b w:val="0"/>
                <w:lang w:eastAsia="es-PA"/>
              </w:rPr>
              <w:t>2</w:t>
            </w:r>
          </w:p>
        </w:tc>
        <w:tc>
          <w:tcPr>
            <w:tcW w:w="7073" w:type="dxa"/>
            <w:hideMark/>
          </w:tcPr>
          <w:p w:rsidR="004D1951" w:rsidRPr="00C8302F" w:rsidRDefault="004D1951" w:rsidP="004D19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es-PA"/>
              </w:rPr>
            </w:pPr>
            <w:r w:rsidRPr="00C8302F">
              <w:rPr>
                <w:rFonts w:ascii="Calibri" w:eastAsia="Times New Roman" w:hAnsi="Calibri" w:cs="Times New Roman"/>
                <w:lang w:eastAsia="es-PA"/>
              </w:rPr>
              <w:t xml:space="preserve"> Monitoreo estacional de la calidad y productividad de aguas subterráneas y pozos. (SENACYT) </w:t>
            </w:r>
          </w:p>
        </w:tc>
      </w:tr>
      <w:tr w:rsidR="004D1951" w:rsidRPr="00C8302F" w:rsidTr="004D1951">
        <w:trPr>
          <w:trHeight w:val="832"/>
        </w:trPr>
        <w:tc>
          <w:tcPr>
            <w:cnfStyle w:val="001000000000" w:firstRow="0" w:lastRow="0" w:firstColumn="1" w:lastColumn="0" w:oddVBand="0" w:evenVBand="0" w:oddHBand="0" w:evenHBand="0" w:firstRowFirstColumn="0" w:firstRowLastColumn="0" w:lastRowFirstColumn="0" w:lastRowLastColumn="0"/>
            <w:tcW w:w="440" w:type="dxa"/>
          </w:tcPr>
          <w:p w:rsidR="004D1951" w:rsidRPr="00C8302F" w:rsidRDefault="004D1951" w:rsidP="004D1951">
            <w:pPr>
              <w:rPr>
                <w:rFonts w:ascii="Calibri" w:eastAsia="Times New Roman" w:hAnsi="Calibri" w:cs="Times New Roman"/>
                <w:b w:val="0"/>
                <w:color w:val="000000"/>
                <w:lang w:eastAsia="es-PA"/>
              </w:rPr>
            </w:pPr>
            <w:r>
              <w:rPr>
                <w:rFonts w:ascii="Calibri" w:eastAsia="Times New Roman" w:hAnsi="Calibri" w:cs="Times New Roman"/>
                <w:b w:val="0"/>
                <w:color w:val="000000"/>
                <w:lang w:eastAsia="es-PA"/>
              </w:rPr>
              <w:t>3</w:t>
            </w:r>
          </w:p>
        </w:tc>
        <w:tc>
          <w:tcPr>
            <w:tcW w:w="7073" w:type="dxa"/>
            <w:hideMark/>
          </w:tcPr>
          <w:p w:rsidR="004D1951" w:rsidRPr="004A3C71" w:rsidRDefault="004D1951" w:rsidP="004D19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PA"/>
              </w:rPr>
            </w:pPr>
            <w:r w:rsidRPr="00C8302F">
              <w:rPr>
                <w:rFonts w:ascii="Calibri" w:eastAsia="Times New Roman" w:hAnsi="Calibri" w:cs="Times New Roman"/>
                <w:color w:val="000000"/>
                <w:lang w:eastAsia="es-PA"/>
              </w:rPr>
              <w:t xml:space="preserve"> </w:t>
            </w:r>
            <w:r w:rsidRPr="004A3C71">
              <w:rPr>
                <w:rFonts w:ascii="Calibri" w:eastAsia="Times New Roman" w:hAnsi="Calibri" w:cs="Times New Roman"/>
                <w:lang w:eastAsia="es-PA"/>
              </w:rPr>
              <w:t xml:space="preserve">Desarrollo de nuevas variedades agrícolas de cultivos básicos (arroz, maíz y frijol) y bancos germoplasma resistentes a la </w:t>
            </w:r>
            <w:r w:rsidR="001E4914" w:rsidRPr="004A3C71">
              <w:rPr>
                <w:rFonts w:ascii="Calibri" w:eastAsia="Times New Roman" w:hAnsi="Calibri" w:cs="Times New Roman"/>
                <w:lang w:eastAsia="es-PA"/>
              </w:rPr>
              <w:t>sequía</w:t>
            </w:r>
            <w:r w:rsidRPr="004A3C71">
              <w:rPr>
                <w:rFonts w:ascii="Calibri" w:eastAsia="Times New Roman" w:hAnsi="Calibri" w:cs="Times New Roman"/>
                <w:lang w:eastAsia="es-PA"/>
              </w:rPr>
              <w:t xml:space="preserve">. </w:t>
            </w:r>
          </w:p>
        </w:tc>
      </w:tr>
      <w:tr w:rsidR="004D1951" w:rsidRPr="00C8302F" w:rsidTr="004D1951">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40" w:type="dxa"/>
          </w:tcPr>
          <w:p w:rsidR="004D1951" w:rsidRPr="00C8302F" w:rsidRDefault="004D1951" w:rsidP="004D1951">
            <w:pPr>
              <w:rPr>
                <w:rFonts w:ascii="Calibri" w:eastAsia="Times New Roman" w:hAnsi="Calibri" w:cs="Times New Roman"/>
                <w:b w:val="0"/>
                <w:color w:val="000000"/>
                <w:lang w:eastAsia="es-PA"/>
              </w:rPr>
            </w:pPr>
            <w:r>
              <w:rPr>
                <w:rFonts w:ascii="Calibri" w:eastAsia="Times New Roman" w:hAnsi="Calibri" w:cs="Times New Roman"/>
                <w:b w:val="0"/>
                <w:color w:val="000000"/>
                <w:lang w:eastAsia="es-PA"/>
              </w:rPr>
              <w:t>4</w:t>
            </w:r>
          </w:p>
        </w:tc>
        <w:tc>
          <w:tcPr>
            <w:tcW w:w="7073" w:type="dxa"/>
            <w:hideMark/>
          </w:tcPr>
          <w:p w:rsidR="004D1951" w:rsidRPr="00C8302F" w:rsidRDefault="004D1951" w:rsidP="004D19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PA"/>
              </w:rPr>
            </w:pPr>
            <w:r w:rsidRPr="00C8302F">
              <w:rPr>
                <w:rFonts w:ascii="Calibri" w:eastAsia="Times New Roman" w:hAnsi="Calibri" w:cs="Times New Roman"/>
                <w:color w:val="000000"/>
                <w:lang w:eastAsia="es-PA"/>
              </w:rPr>
              <w:t xml:space="preserve"> Disponibilidad hídrica y Seguridad alimentaria (SENACYT) </w:t>
            </w:r>
          </w:p>
        </w:tc>
      </w:tr>
      <w:tr w:rsidR="004D1951" w:rsidRPr="00C8302F" w:rsidTr="004D1951">
        <w:trPr>
          <w:trHeight w:val="900"/>
        </w:trPr>
        <w:tc>
          <w:tcPr>
            <w:cnfStyle w:val="001000000000" w:firstRow="0" w:lastRow="0" w:firstColumn="1" w:lastColumn="0" w:oddVBand="0" w:evenVBand="0" w:oddHBand="0" w:evenHBand="0" w:firstRowFirstColumn="0" w:firstRowLastColumn="0" w:lastRowFirstColumn="0" w:lastRowLastColumn="0"/>
            <w:tcW w:w="440" w:type="dxa"/>
          </w:tcPr>
          <w:p w:rsidR="004D1951" w:rsidRPr="00C8302F" w:rsidRDefault="004D1951" w:rsidP="004D1951">
            <w:pPr>
              <w:rPr>
                <w:rFonts w:ascii="Calibri" w:eastAsia="Times New Roman" w:hAnsi="Calibri" w:cs="Times New Roman"/>
                <w:b w:val="0"/>
                <w:color w:val="000000"/>
                <w:lang w:eastAsia="es-PA"/>
              </w:rPr>
            </w:pPr>
            <w:r>
              <w:rPr>
                <w:rFonts w:ascii="Calibri" w:eastAsia="Times New Roman" w:hAnsi="Calibri" w:cs="Times New Roman"/>
                <w:b w:val="0"/>
                <w:color w:val="000000"/>
                <w:lang w:eastAsia="es-PA"/>
              </w:rPr>
              <w:t>5</w:t>
            </w:r>
          </w:p>
        </w:tc>
        <w:tc>
          <w:tcPr>
            <w:tcW w:w="7073" w:type="dxa"/>
            <w:hideMark/>
          </w:tcPr>
          <w:p w:rsidR="004D1951" w:rsidRPr="00C8302F" w:rsidRDefault="004D1951" w:rsidP="004D19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PA"/>
              </w:rPr>
            </w:pPr>
            <w:r w:rsidRPr="00C8302F">
              <w:rPr>
                <w:rFonts w:ascii="Calibri" w:eastAsia="Times New Roman" w:hAnsi="Calibri" w:cs="Times New Roman"/>
                <w:color w:val="000000"/>
                <w:lang w:eastAsia="es-PA"/>
              </w:rPr>
              <w:t xml:space="preserve"> Innovación tecnológica y transferencia de tecnología en la captación de aguas de lluvias </w:t>
            </w:r>
          </w:p>
        </w:tc>
      </w:tr>
      <w:tr w:rsidR="004D1951" w:rsidRPr="00C8302F" w:rsidTr="004D1951">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440" w:type="dxa"/>
          </w:tcPr>
          <w:p w:rsidR="004D1951" w:rsidRPr="00C8302F" w:rsidRDefault="004D1951" w:rsidP="004D1951">
            <w:pPr>
              <w:rPr>
                <w:rFonts w:ascii="Calibri" w:eastAsia="Times New Roman" w:hAnsi="Calibri" w:cs="Times New Roman"/>
                <w:b w:val="0"/>
                <w:color w:val="000000"/>
                <w:lang w:eastAsia="es-PA"/>
              </w:rPr>
            </w:pPr>
            <w:r>
              <w:rPr>
                <w:rFonts w:ascii="Calibri" w:eastAsia="Times New Roman" w:hAnsi="Calibri" w:cs="Times New Roman"/>
                <w:b w:val="0"/>
                <w:color w:val="000000"/>
                <w:lang w:eastAsia="es-PA"/>
              </w:rPr>
              <w:t>6</w:t>
            </w:r>
          </w:p>
        </w:tc>
        <w:tc>
          <w:tcPr>
            <w:tcW w:w="7073" w:type="dxa"/>
            <w:hideMark/>
          </w:tcPr>
          <w:p w:rsidR="004D1951" w:rsidRPr="00C8302F" w:rsidRDefault="004D1951" w:rsidP="004D19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PA"/>
              </w:rPr>
            </w:pPr>
            <w:r w:rsidRPr="00C8302F">
              <w:rPr>
                <w:rFonts w:ascii="Calibri" w:eastAsia="Times New Roman" w:hAnsi="Calibri" w:cs="Times New Roman"/>
                <w:color w:val="000000"/>
                <w:lang w:eastAsia="es-PA"/>
              </w:rPr>
              <w:t xml:space="preserve"> Establecimiento e implementación de sistemas de alerta temprana en centros educativos. </w:t>
            </w:r>
            <w:r w:rsidRPr="00C8302F">
              <w:rPr>
                <w:rFonts w:ascii="Calibri" w:eastAsia="Times New Roman" w:hAnsi="Calibri" w:cs="Times New Roman"/>
                <w:color w:val="000000"/>
                <w:lang w:eastAsia="es-PA"/>
              </w:rPr>
              <w:br/>
              <w:t xml:space="preserve"> </w:t>
            </w:r>
          </w:p>
        </w:tc>
      </w:tr>
      <w:tr w:rsidR="004D1951" w:rsidRPr="00C8302F" w:rsidTr="004D1951">
        <w:trPr>
          <w:trHeight w:val="708"/>
        </w:trPr>
        <w:tc>
          <w:tcPr>
            <w:cnfStyle w:val="001000000000" w:firstRow="0" w:lastRow="0" w:firstColumn="1" w:lastColumn="0" w:oddVBand="0" w:evenVBand="0" w:oddHBand="0" w:evenHBand="0" w:firstRowFirstColumn="0" w:firstRowLastColumn="0" w:lastRowFirstColumn="0" w:lastRowLastColumn="0"/>
            <w:tcW w:w="440" w:type="dxa"/>
          </w:tcPr>
          <w:p w:rsidR="004D1951" w:rsidRPr="00C8302F" w:rsidRDefault="004D1951" w:rsidP="004D1951">
            <w:pPr>
              <w:rPr>
                <w:rFonts w:ascii="Calibri" w:eastAsia="Times New Roman" w:hAnsi="Calibri" w:cs="Times New Roman"/>
                <w:b w:val="0"/>
                <w:color w:val="000000"/>
                <w:lang w:eastAsia="es-PA"/>
              </w:rPr>
            </w:pPr>
            <w:r>
              <w:rPr>
                <w:rFonts w:ascii="Calibri" w:eastAsia="Times New Roman" w:hAnsi="Calibri" w:cs="Times New Roman"/>
                <w:b w:val="0"/>
                <w:color w:val="000000"/>
                <w:lang w:eastAsia="es-PA"/>
              </w:rPr>
              <w:t>7</w:t>
            </w:r>
          </w:p>
        </w:tc>
        <w:tc>
          <w:tcPr>
            <w:tcW w:w="7073" w:type="dxa"/>
            <w:hideMark/>
          </w:tcPr>
          <w:p w:rsidR="004D1951" w:rsidRPr="00C8302F" w:rsidRDefault="004D1951" w:rsidP="004D19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PA"/>
              </w:rPr>
            </w:pPr>
            <w:r w:rsidRPr="00C8302F">
              <w:rPr>
                <w:rFonts w:ascii="Calibri" w:eastAsia="Times New Roman" w:hAnsi="Calibri" w:cs="Times New Roman"/>
                <w:color w:val="000000"/>
                <w:lang w:eastAsia="es-PA"/>
              </w:rPr>
              <w:t xml:space="preserve"> Modelo de predicción en tiempo real de caudales en las principales cuencas. * </w:t>
            </w:r>
          </w:p>
        </w:tc>
      </w:tr>
      <w:tr w:rsidR="004D1951" w:rsidRPr="00C8302F" w:rsidTr="004D1951">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440" w:type="dxa"/>
          </w:tcPr>
          <w:p w:rsidR="004D1951" w:rsidRPr="00C8302F" w:rsidRDefault="004D1951" w:rsidP="004D1951">
            <w:pPr>
              <w:rPr>
                <w:rFonts w:ascii="Calibri" w:eastAsia="Times New Roman" w:hAnsi="Calibri" w:cs="Times New Roman"/>
                <w:b w:val="0"/>
                <w:color w:val="000000"/>
                <w:lang w:eastAsia="es-PA"/>
              </w:rPr>
            </w:pPr>
            <w:r>
              <w:rPr>
                <w:rFonts w:ascii="Calibri" w:eastAsia="Times New Roman" w:hAnsi="Calibri" w:cs="Times New Roman"/>
                <w:b w:val="0"/>
                <w:color w:val="000000"/>
                <w:lang w:eastAsia="es-PA"/>
              </w:rPr>
              <w:t>8</w:t>
            </w:r>
          </w:p>
        </w:tc>
        <w:tc>
          <w:tcPr>
            <w:tcW w:w="7073" w:type="dxa"/>
          </w:tcPr>
          <w:p w:rsidR="004D1951" w:rsidRPr="004D1951" w:rsidRDefault="004D1951" w:rsidP="004D19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PA"/>
              </w:rPr>
            </w:pPr>
            <w:r w:rsidRPr="004D1951">
              <w:rPr>
                <w:rFonts w:ascii="Calibri" w:eastAsia="Times New Roman" w:hAnsi="Calibri" w:cs="Times New Roman"/>
                <w:color w:val="000000"/>
                <w:lang w:eastAsia="es-PA"/>
              </w:rPr>
              <w:t>Ensayos cuantitativos y transferencia tecnológica en prácticas agrícolas con menos demanda hídrica.</w:t>
            </w:r>
          </w:p>
        </w:tc>
      </w:tr>
      <w:tr w:rsidR="004D1951" w:rsidRPr="00C8302F" w:rsidTr="004D1951">
        <w:trPr>
          <w:trHeight w:val="1020"/>
        </w:trPr>
        <w:tc>
          <w:tcPr>
            <w:cnfStyle w:val="001000000000" w:firstRow="0" w:lastRow="0" w:firstColumn="1" w:lastColumn="0" w:oddVBand="0" w:evenVBand="0" w:oddHBand="0" w:evenHBand="0" w:firstRowFirstColumn="0" w:firstRowLastColumn="0" w:lastRowFirstColumn="0" w:lastRowLastColumn="0"/>
            <w:tcW w:w="440" w:type="dxa"/>
          </w:tcPr>
          <w:p w:rsidR="004D1951" w:rsidRPr="00C8302F" w:rsidRDefault="004D1951" w:rsidP="004D1951">
            <w:pPr>
              <w:rPr>
                <w:rFonts w:ascii="Calibri" w:eastAsia="Times New Roman" w:hAnsi="Calibri" w:cs="Times New Roman"/>
                <w:b w:val="0"/>
                <w:color w:val="000000"/>
                <w:lang w:eastAsia="es-PA"/>
              </w:rPr>
            </w:pPr>
            <w:r>
              <w:rPr>
                <w:rFonts w:ascii="Calibri" w:eastAsia="Times New Roman" w:hAnsi="Calibri" w:cs="Times New Roman"/>
                <w:b w:val="0"/>
                <w:color w:val="000000"/>
                <w:lang w:eastAsia="es-PA"/>
              </w:rPr>
              <w:t>9</w:t>
            </w:r>
          </w:p>
        </w:tc>
        <w:tc>
          <w:tcPr>
            <w:tcW w:w="7073" w:type="dxa"/>
          </w:tcPr>
          <w:p w:rsidR="004D1951" w:rsidRPr="004D1951" w:rsidRDefault="004D1951" w:rsidP="004D19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PA"/>
              </w:rPr>
            </w:pPr>
            <w:r w:rsidRPr="004D1951">
              <w:rPr>
                <w:rFonts w:ascii="Calibri" w:eastAsia="Times New Roman" w:hAnsi="Calibri" w:cs="Times New Roman"/>
                <w:color w:val="000000"/>
                <w:lang w:eastAsia="es-PA"/>
              </w:rPr>
              <w:t>Innovación tecnológica y transferencias de tecnología en la captación de aguas de lluvia y re</w:t>
            </w:r>
            <w:r w:rsidR="001E4914">
              <w:rPr>
                <w:rFonts w:ascii="Calibri" w:eastAsia="Times New Roman" w:hAnsi="Calibri" w:cs="Times New Roman"/>
                <w:color w:val="000000"/>
                <w:lang w:eastAsia="es-PA"/>
              </w:rPr>
              <w:t>-</w:t>
            </w:r>
            <w:r w:rsidRPr="004D1951">
              <w:rPr>
                <w:rFonts w:ascii="Calibri" w:eastAsia="Times New Roman" w:hAnsi="Calibri" w:cs="Times New Roman"/>
                <w:color w:val="000000"/>
                <w:lang w:eastAsia="es-PA"/>
              </w:rPr>
              <w:t>uso de aguas servidas.</w:t>
            </w:r>
          </w:p>
        </w:tc>
      </w:tr>
      <w:tr w:rsidR="004D1951" w:rsidRPr="00C8302F" w:rsidTr="004D1951">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40" w:type="dxa"/>
          </w:tcPr>
          <w:p w:rsidR="004D1951" w:rsidRPr="00C8302F" w:rsidRDefault="004D1951" w:rsidP="004D1951">
            <w:pPr>
              <w:rPr>
                <w:rFonts w:ascii="Calibri" w:eastAsia="Times New Roman" w:hAnsi="Calibri" w:cs="Times New Roman"/>
                <w:b w:val="0"/>
                <w:color w:val="000000"/>
                <w:lang w:eastAsia="es-PA"/>
              </w:rPr>
            </w:pPr>
            <w:r>
              <w:rPr>
                <w:rFonts w:ascii="Calibri" w:eastAsia="Times New Roman" w:hAnsi="Calibri" w:cs="Times New Roman"/>
                <w:b w:val="0"/>
                <w:color w:val="000000"/>
                <w:lang w:eastAsia="es-PA"/>
              </w:rPr>
              <w:t>10</w:t>
            </w:r>
          </w:p>
        </w:tc>
        <w:tc>
          <w:tcPr>
            <w:tcW w:w="7073" w:type="dxa"/>
          </w:tcPr>
          <w:p w:rsidR="004D1951" w:rsidRPr="004D1951" w:rsidRDefault="004D1951" w:rsidP="004D19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PA"/>
              </w:rPr>
            </w:pPr>
            <w:r w:rsidRPr="004D1951">
              <w:rPr>
                <w:rFonts w:ascii="Calibri" w:eastAsia="Times New Roman" w:hAnsi="Calibri" w:cs="Times New Roman"/>
                <w:color w:val="000000"/>
                <w:lang w:eastAsia="es-PA"/>
              </w:rPr>
              <w:t>Modelaje (escenarios) para el monitoreo de cambios en cobertura boscosa en las principales cuencas del país mediante sensores remotos</w:t>
            </w:r>
          </w:p>
        </w:tc>
      </w:tr>
      <w:tr w:rsidR="004D1951" w:rsidRPr="00C8302F" w:rsidTr="004D1951">
        <w:trPr>
          <w:trHeight w:val="1020"/>
        </w:trPr>
        <w:tc>
          <w:tcPr>
            <w:cnfStyle w:val="001000000000" w:firstRow="0" w:lastRow="0" w:firstColumn="1" w:lastColumn="0" w:oddVBand="0" w:evenVBand="0" w:oddHBand="0" w:evenHBand="0" w:firstRowFirstColumn="0" w:firstRowLastColumn="0" w:lastRowFirstColumn="0" w:lastRowLastColumn="0"/>
            <w:tcW w:w="440" w:type="dxa"/>
          </w:tcPr>
          <w:p w:rsidR="004D1951" w:rsidRPr="00C8302F" w:rsidRDefault="004D1951" w:rsidP="004D1951">
            <w:pPr>
              <w:rPr>
                <w:rFonts w:ascii="Calibri" w:eastAsia="Times New Roman" w:hAnsi="Calibri" w:cs="Times New Roman"/>
                <w:b w:val="0"/>
                <w:color w:val="000000"/>
                <w:lang w:eastAsia="es-PA"/>
              </w:rPr>
            </w:pPr>
            <w:r>
              <w:rPr>
                <w:rFonts w:ascii="Calibri" w:eastAsia="Times New Roman" w:hAnsi="Calibri" w:cs="Times New Roman"/>
                <w:b w:val="0"/>
                <w:color w:val="000000"/>
                <w:lang w:eastAsia="es-PA"/>
              </w:rPr>
              <w:t>11</w:t>
            </w:r>
          </w:p>
        </w:tc>
        <w:tc>
          <w:tcPr>
            <w:tcW w:w="7073" w:type="dxa"/>
          </w:tcPr>
          <w:p w:rsidR="004D1951" w:rsidRPr="004D1951" w:rsidRDefault="004D1951" w:rsidP="004D19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PA"/>
              </w:rPr>
            </w:pPr>
            <w:r w:rsidRPr="004D1951">
              <w:rPr>
                <w:rFonts w:ascii="Calibri" w:eastAsia="Times New Roman" w:hAnsi="Calibri" w:cs="Times New Roman"/>
                <w:color w:val="000000"/>
                <w:lang w:eastAsia="es-PA"/>
              </w:rPr>
              <w:t>Investigaciones del tema forestal</w:t>
            </w:r>
          </w:p>
          <w:p w:rsidR="004D1951" w:rsidRPr="004D1951" w:rsidRDefault="004D1951" w:rsidP="004D19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PA"/>
              </w:rPr>
            </w:pPr>
            <w:r w:rsidRPr="004D1951">
              <w:rPr>
                <w:rFonts w:ascii="Calibri" w:eastAsia="Times New Roman" w:hAnsi="Calibri" w:cs="Times New Roman"/>
                <w:color w:val="000000"/>
                <w:lang w:eastAsia="es-PA"/>
              </w:rPr>
              <w:t>-Especies nativas.</w:t>
            </w:r>
          </w:p>
          <w:p w:rsidR="004D1951" w:rsidRPr="004D1951" w:rsidRDefault="004D1951" w:rsidP="004D19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PA"/>
              </w:rPr>
            </w:pPr>
            <w:r w:rsidRPr="004D1951">
              <w:rPr>
                <w:rFonts w:ascii="Calibri" w:eastAsia="Times New Roman" w:hAnsi="Calibri" w:cs="Times New Roman"/>
                <w:color w:val="000000"/>
                <w:lang w:eastAsia="es-PA"/>
              </w:rPr>
              <w:t>-Aplicación en zonas de reservas hidrológicas.</w:t>
            </w:r>
          </w:p>
          <w:p w:rsidR="004D1951" w:rsidRPr="004D1951" w:rsidRDefault="004D1951" w:rsidP="004D19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PA"/>
              </w:rPr>
            </w:pPr>
            <w:r w:rsidRPr="004D1951">
              <w:rPr>
                <w:rFonts w:ascii="Calibri" w:eastAsia="Times New Roman" w:hAnsi="Calibri" w:cs="Times New Roman"/>
                <w:color w:val="000000"/>
                <w:lang w:eastAsia="es-PA"/>
              </w:rPr>
              <w:t>-Efectividad del Plan de Manejo en la protección de las reservas.</w:t>
            </w:r>
          </w:p>
        </w:tc>
      </w:tr>
    </w:tbl>
    <w:p w:rsidR="00560AA0" w:rsidRDefault="00560AA0" w:rsidP="00AD5F9B"/>
    <w:p w:rsidR="00C8302F" w:rsidRDefault="00C8302F" w:rsidP="00AD5F9B"/>
    <w:p w:rsidR="00C8302F" w:rsidRDefault="00C8302F"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4D1951" w:rsidRDefault="004D1951" w:rsidP="00AD5F9B"/>
    <w:p w:rsidR="0089380B" w:rsidRDefault="0089380B">
      <w:pPr>
        <w:rPr>
          <w:b/>
        </w:rPr>
      </w:pPr>
      <w:r>
        <w:rPr>
          <w:b/>
        </w:rPr>
        <w:br w:type="page"/>
      </w:r>
    </w:p>
    <w:p w:rsidR="007A2F0D" w:rsidRPr="007A2F0D" w:rsidRDefault="007A2F0D" w:rsidP="00AD5F9B">
      <w:pPr>
        <w:rPr>
          <w:b/>
        </w:rPr>
      </w:pPr>
      <w:r w:rsidRPr="007A2F0D">
        <w:rPr>
          <w:b/>
        </w:rPr>
        <w:t>Bases de la convocatoria SENACYT-BID 2017</w:t>
      </w:r>
    </w:p>
    <w:p w:rsidR="001E4914" w:rsidRDefault="001E4914" w:rsidP="001E4914">
      <w:pPr>
        <w:pStyle w:val="Default"/>
      </w:pPr>
    </w:p>
    <w:p w:rsidR="007A2F0D" w:rsidRDefault="0089380B" w:rsidP="001E4914">
      <w:pPr>
        <w:jc w:val="both"/>
      </w:pPr>
      <w:r>
        <w:t xml:space="preserve">Tomando como base, el listado de prioridades establecidas en el Plan Nacional de Seguridad Hídrica, se define el contenido de la Convocatoria Pública de la siguiente manera: </w:t>
      </w:r>
    </w:p>
    <w:p w:rsidR="0089380B" w:rsidRDefault="0089380B" w:rsidP="007A2F0D">
      <w:pPr>
        <w:jc w:val="both"/>
        <w:rPr>
          <w:b/>
        </w:rPr>
      </w:pPr>
    </w:p>
    <w:tbl>
      <w:tblPr>
        <w:tblW w:w="8745" w:type="dxa"/>
        <w:jc w:val="center"/>
        <w:shd w:val="clear" w:color="auto" w:fill="E3DED1" w:themeFill="background2"/>
        <w:tblLook w:val="01E0" w:firstRow="1" w:lastRow="1" w:firstColumn="1" w:lastColumn="1" w:noHBand="0" w:noVBand="0"/>
      </w:tblPr>
      <w:tblGrid>
        <w:gridCol w:w="8745"/>
      </w:tblGrid>
      <w:tr w:rsidR="0089380B" w:rsidRPr="00B80A32" w:rsidTr="0089380B">
        <w:trPr>
          <w:trHeight w:val="443"/>
          <w:jc w:val="center"/>
        </w:trPr>
        <w:tc>
          <w:tcPr>
            <w:tcW w:w="8745" w:type="dxa"/>
            <w:shd w:val="clear" w:color="auto" w:fill="E3DED1" w:themeFill="background2"/>
            <w:vAlign w:val="center"/>
          </w:tcPr>
          <w:p w:rsidR="0089380B" w:rsidRPr="00B80A32" w:rsidRDefault="0089380B" w:rsidP="00781327">
            <w:pPr>
              <w:spacing w:before="120" w:after="120"/>
              <w:jc w:val="both"/>
              <w:rPr>
                <w:rFonts w:cs="Arial"/>
              </w:rPr>
            </w:pPr>
            <w:r w:rsidRPr="00B80A32">
              <w:rPr>
                <w:rFonts w:cs="Arial"/>
                <w:b/>
              </w:rPr>
              <w:t>MISIÓN:</w:t>
            </w:r>
            <w:r w:rsidRPr="00B80A32">
              <w:rPr>
                <w:rFonts w:cs="Arial"/>
              </w:rPr>
              <w:t xml:space="preserve"> </w:t>
            </w:r>
            <w:r w:rsidR="00475363" w:rsidRPr="00B80A32">
              <w:rPr>
                <w:rFonts w:cs="Arial"/>
                <w:b/>
              </w:rPr>
              <w:t xml:space="preserve">: </w:t>
            </w:r>
            <w:r w:rsidR="0075604B" w:rsidRPr="00B80A32">
              <w:rPr>
                <w:rFonts w:eastAsia="MS Mincho" w:cs="Arial"/>
                <w:lang w:val="es-ES" w:eastAsia="ja-JP"/>
              </w:rPr>
              <w:t>Generación de conocimiento que sustente la toma de decisiones o formulación de políticas públicas, orientadas a la gestión y el uso más eficiente del agua, para el consumo humano y sectores productivos</w:t>
            </w:r>
            <w:r w:rsidR="0075604B" w:rsidRPr="00B80A32">
              <w:rPr>
                <w:rFonts w:eastAsia="MS Mincho" w:cs="Arial"/>
                <w:lang w:val="es-ES" w:eastAsia="ja-JP"/>
              </w:rPr>
              <w:t>.</w:t>
            </w:r>
          </w:p>
        </w:tc>
      </w:tr>
      <w:tr w:rsidR="0089380B" w:rsidRPr="00B80A32" w:rsidTr="0089380B">
        <w:trPr>
          <w:trHeight w:val="1483"/>
          <w:jc w:val="center"/>
        </w:trPr>
        <w:tc>
          <w:tcPr>
            <w:tcW w:w="8745" w:type="dxa"/>
            <w:shd w:val="clear" w:color="auto" w:fill="E3DED1" w:themeFill="background2"/>
            <w:vAlign w:val="center"/>
          </w:tcPr>
          <w:p w:rsidR="0075604B" w:rsidRPr="00B80A32" w:rsidRDefault="0089380B" w:rsidP="0075604B">
            <w:pPr>
              <w:spacing w:before="120" w:after="120"/>
              <w:jc w:val="both"/>
              <w:rPr>
                <w:rFonts w:cs="Arial"/>
              </w:rPr>
            </w:pPr>
            <w:r w:rsidRPr="00B80A32">
              <w:rPr>
                <w:rFonts w:cs="Arial"/>
                <w:b/>
              </w:rPr>
              <w:t>DIRIGIDA A</w:t>
            </w:r>
            <w:r w:rsidR="0075604B" w:rsidRPr="00B80A32">
              <w:rPr>
                <w:rFonts w:cs="Arial"/>
                <w:b/>
              </w:rPr>
              <w:t xml:space="preserve">DIRIGIDA A: </w:t>
            </w:r>
            <w:r w:rsidR="0075604B" w:rsidRPr="00B80A32">
              <w:rPr>
                <w:rFonts w:cs="Arial"/>
              </w:rPr>
              <w:t>Entidades públicas, personas jurídicas, con o sin fines de lucro, organizaciones no gubernamentales y asociaciones de interés público, que representen a grupos de investigación interdisciplinarios para la generación de conocimiento afín al sector salud.</w:t>
            </w:r>
          </w:p>
          <w:p w:rsidR="0075604B" w:rsidRPr="00B80A32" w:rsidRDefault="0075604B" w:rsidP="0075604B">
            <w:pPr>
              <w:spacing w:before="120" w:after="120"/>
              <w:jc w:val="both"/>
              <w:rPr>
                <w:rFonts w:cs="Arial"/>
              </w:rPr>
            </w:pPr>
            <w:r w:rsidRPr="00B80A32">
              <w:rPr>
                <w:rFonts w:cs="Arial"/>
              </w:rPr>
              <w:t>Los grupos de investigación podrán estar conformados por entidades o instituciones panameñas o extranjeras; sin embargo, en todos los casos la entidad que presente la propuesta, deberá tener la capacidad legal requerida por las leyes de la República de Panamá para contraer obligaciones, así como deberá estar radicada y desarrollar la investigación en la República de Panamá.  La entidad que presente la propuesta representará a las demás entidades del grupo de investigación, por lo que la propuesta debe incluir como mínimo una carta de compromiso institucional por cada entidad participante del grupo de investigación y describir cómo realizarán la colaboración, cómo se fortalecerán o generarán capacidades nacionales.</w:t>
            </w:r>
          </w:p>
          <w:p w:rsidR="0089380B" w:rsidRPr="00B80A32" w:rsidRDefault="0075604B" w:rsidP="0075604B">
            <w:pPr>
              <w:spacing w:before="120" w:after="120"/>
              <w:jc w:val="both"/>
              <w:rPr>
                <w:rFonts w:cs="Arial"/>
              </w:rPr>
            </w:pPr>
            <w:r w:rsidRPr="00B80A32">
              <w:rPr>
                <w:rFonts w:cs="Arial"/>
              </w:rPr>
              <w:t>Los grupos de investigación deben promover la unión de esfuerzos con el sector público, empresas privadas, universidades, organizaciones no gubernamentales (ONG), laboratorios u otras entidades; orientando al grupo a la solución del problema planteado, de acuerdo a un objetivo y plan de trab</w:t>
            </w:r>
            <w:bookmarkStart w:id="0" w:name="_GoBack"/>
            <w:bookmarkEnd w:id="0"/>
            <w:r w:rsidRPr="00B80A32">
              <w:rPr>
                <w:rFonts w:cs="Arial"/>
              </w:rPr>
              <w:t>ajo a corto y mediano plazo, con capacidad de llevar a cabo investigación científica o desarrollo tecnológico.</w:t>
            </w:r>
          </w:p>
        </w:tc>
      </w:tr>
      <w:tr w:rsidR="0089380B" w:rsidRPr="00B80A32" w:rsidTr="0089380B">
        <w:trPr>
          <w:trHeight w:val="1364"/>
          <w:jc w:val="center"/>
        </w:trPr>
        <w:tc>
          <w:tcPr>
            <w:tcW w:w="8745" w:type="dxa"/>
            <w:shd w:val="clear" w:color="auto" w:fill="E3DED1" w:themeFill="background2"/>
            <w:vAlign w:val="center"/>
          </w:tcPr>
          <w:p w:rsidR="0089380B" w:rsidRPr="00B80A32" w:rsidRDefault="0089380B" w:rsidP="00781327">
            <w:pPr>
              <w:spacing w:before="120" w:after="120"/>
              <w:jc w:val="both"/>
              <w:rPr>
                <w:rFonts w:cs="Arial"/>
              </w:rPr>
            </w:pPr>
            <w:r w:rsidRPr="00B80A32">
              <w:rPr>
                <w:rFonts w:cs="Arial"/>
                <w:b/>
              </w:rPr>
              <w:t>OBJETIVO:</w:t>
            </w:r>
            <w:r w:rsidRPr="00B80A32">
              <w:rPr>
                <w:rFonts w:cs="Arial"/>
              </w:rPr>
              <w:t xml:space="preserve"> </w:t>
            </w:r>
            <w:r w:rsidR="0075604B" w:rsidRPr="00B80A32">
              <w:rPr>
                <w:rFonts w:eastAsia="MS Mincho" w:cs="Arial"/>
                <w:lang w:val="es-ES" w:eastAsia="ja-JP"/>
              </w:rPr>
              <w:t>Impulsar investigación científica multidisciplinaria e intersectorial que contribuya a alcanzar la sostenibilidad del recurso hídrico</w:t>
            </w:r>
            <w:r w:rsidRPr="00B80A32">
              <w:rPr>
                <w:rFonts w:cs="Arial"/>
              </w:rPr>
              <w:t xml:space="preserve">. </w:t>
            </w:r>
          </w:p>
          <w:p w:rsidR="0089380B" w:rsidRPr="00B80A32" w:rsidRDefault="0089380B" w:rsidP="004A3C71">
            <w:pPr>
              <w:spacing w:before="120" w:after="120"/>
              <w:jc w:val="both"/>
              <w:rPr>
                <w:rFonts w:cs="Arial"/>
              </w:rPr>
            </w:pPr>
            <w:r w:rsidRPr="00B80A32">
              <w:rPr>
                <w:rFonts w:cs="Arial"/>
              </w:rPr>
              <w:t>Las propuestas presentadas deben apunta</w:t>
            </w:r>
            <w:r w:rsidR="001578DA" w:rsidRPr="00B80A32">
              <w:rPr>
                <w:rFonts w:cs="Arial"/>
              </w:rPr>
              <w:t>r</w:t>
            </w:r>
            <w:r w:rsidRPr="00B80A32">
              <w:rPr>
                <w:rFonts w:cs="Arial"/>
              </w:rPr>
              <w:t xml:space="preserve"> a </w:t>
            </w:r>
            <w:r w:rsidR="001578DA" w:rsidRPr="00B80A32">
              <w:rPr>
                <w:rFonts w:cs="Arial"/>
              </w:rPr>
              <w:t xml:space="preserve">la </w:t>
            </w:r>
            <w:r w:rsidRPr="00B80A32">
              <w:rPr>
                <w:rFonts w:cs="Arial"/>
              </w:rPr>
              <w:t>investigación científica y desarrollo de aplicaciones tecnológicas que permitan garantizar la</w:t>
            </w:r>
            <w:r w:rsidR="001578DA" w:rsidRPr="00B80A32">
              <w:rPr>
                <w:rFonts w:cs="Arial"/>
              </w:rPr>
              <w:t xml:space="preserve"> gestión sostenible del recurso hídrico</w:t>
            </w:r>
            <w:r w:rsidRPr="00B80A32">
              <w:rPr>
                <w:rFonts w:cs="Arial"/>
              </w:rPr>
              <w:t xml:space="preserve">, que permita el suministro de agua para el consumo humano, para satisfacer las demandas de </w:t>
            </w:r>
            <w:r w:rsidR="001578DA" w:rsidRPr="00B80A32">
              <w:rPr>
                <w:rFonts w:cs="Arial"/>
              </w:rPr>
              <w:t xml:space="preserve">todos </w:t>
            </w:r>
            <w:r w:rsidRPr="00B80A32">
              <w:rPr>
                <w:rFonts w:cs="Arial"/>
              </w:rPr>
              <w:t>los sectores productivos</w:t>
            </w:r>
            <w:r w:rsidR="001578DA" w:rsidRPr="00B80A32">
              <w:rPr>
                <w:rFonts w:cs="Arial"/>
              </w:rPr>
              <w:t xml:space="preserve"> y </w:t>
            </w:r>
            <w:r w:rsidRPr="00B80A32">
              <w:rPr>
                <w:rFonts w:cs="Arial"/>
              </w:rPr>
              <w:t>que permita reducir los riesgos asociados a evento</w:t>
            </w:r>
            <w:r w:rsidR="001578DA" w:rsidRPr="00B80A32">
              <w:rPr>
                <w:rFonts w:cs="Arial"/>
              </w:rPr>
              <w:t>s climatológicos extremos (sequía</w:t>
            </w:r>
            <w:r w:rsidRPr="00B80A32">
              <w:rPr>
                <w:rFonts w:cs="Arial"/>
              </w:rPr>
              <w:t xml:space="preserve">s e inundaciones), y </w:t>
            </w:r>
            <w:r w:rsidR="004A3C71" w:rsidRPr="00B80A32">
              <w:rPr>
                <w:rFonts w:cs="Arial"/>
              </w:rPr>
              <w:t>asegurando el recurso hídrico</w:t>
            </w:r>
            <w:r w:rsidRPr="00B80A32">
              <w:rPr>
                <w:rFonts w:cs="Arial"/>
              </w:rPr>
              <w:t xml:space="preserve"> en calidad y cantidad a las generaciones actuales y futuras.</w:t>
            </w:r>
          </w:p>
        </w:tc>
      </w:tr>
      <w:tr w:rsidR="0089380B" w:rsidRPr="00B80A32" w:rsidTr="0089380B">
        <w:trPr>
          <w:trHeight w:val="1988"/>
          <w:jc w:val="center"/>
        </w:trPr>
        <w:tc>
          <w:tcPr>
            <w:tcW w:w="8745" w:type="dxa"/>
            <w:shd w:val="clear" w:color="auto" w:fill="E3DED1" w:themeFill="background2"/>
          </w:tcPr>
          <w:p w:rsidR="0089380B" w:rsidRPr="00B80A32" w:rsidRDefault="0089380B" w:rsidP="0075604B">
            <w:pPr>
              <w:pStyle w:val="Prrafodelista"/>
              <w:spacing w:after="0" w:line="240" w:lineRule="auto"/>
              <w:ind w:left="360"/>
              <w:rPr>
                <w:rFonts w:cs="Arial"/>
              </w:rPr>
            </w:pPr>
            <w:bookmarkStart w:id="1" w:name="OLE_LINK2"/>
          </w:p>
          <w:p w:rsidR="0089380B" w:rsidRPr="00B80A32" w:rsidRDefault="0089380B" w:rsidP="0089380B">
            <w:pPr>
              <w:spacing w:before="120"/>
              <w:jc w:val="both"/>
              <w:rPr>
                <w:rFonts w:eastAsia="Times New Roman" w:cs="Arial"/>
                <w:lang w:eastAsia="es-ES"/>
              </w:rPr>
            </w:pPr>
            <w:r w:rsidRPr="00B80A32">
              <w:rPr>
                <w:rFonts w:cs="Arial"/>
                <w:b/>
              </w:rPr>
              <w:t>Énfasis de preferencia:</w:t>
            </w:r>
            <w:r w:rsidR="0075604B" w:rsidRPr="00B80A32">
              <w:rPr>
                <w:rFonts w:eastAsia="MS Mincho" w:cs="Arial"/>
                <w:lang w:val="es-ES" w:eastAsia="ja-JP"/>
              </w:rPr>
              <w:t xml:space="preserve"> Las propuestas deberán elaborarse en función de los metas, retos, proyectos y acciones de investigación priorizados en el Plan Nacional de Seguridad Hídrica Agua para Todos 2015-2050 (PNSH), disponible en la página </w:t>
            </w:r>
            <w:r w:rsidR="0075604B" w:rsidRPr="00B80A32">
              <w:rPr>
                <w:rFonts w:eastAsia="MS Mincho" w:cs="Arial"/>
                <w:b/>
                <w:color w:val="0000FF"/>
                <w:u w:val="single"/>
                <w:lang w:val="es-ES" w:eastAsia="ja-JP"/>
              </w:rPr>
              <w:t>www.senacyt.gob.pa</w:t>
            </w:r>
            <w:r w:rsidR="0075604B" w:rsidRPr="00B80A32">
              <w:rPr>
                <w:rFonts w:eastAsia="MS Mincho" w:cs="Arial"/>
                <w:lang w:val="es-ES" w:eastAsia="ja-JP"/>
              </w:rPr>
              <w:t xml:space="preserve">, apuntando a dar soluciones que se traduzcan en beneficios tangibles en el desarrollo de las líneas de investigación prioritarias enmarcados en el PNSH.  Las acciones que se presenten deben orientarse a favorecer la </w:t>
            </w:r>
            <w:r w:rsidR="0075604B" w:rsidRPr="00B80A32">
              <w:rPr>
                <w:rFonts w:eastAsia="Times New Roman" w:cs="Arial"/>
                <w:lang w:val="es-ES" w:eastAsia="es-ES"/>
              </w:rPr>
              <w:t xml:space="preserve">sostenibilidad de los recursos hídricos, </w:t>
            </w:r>
            <w:r w:rsidR="0075604B" w:rsidRPr="00B80A32">
              <w:rPr>
                <w:rFonts w:eastAsia="MS Mincho" w:cs="Arial"/>
                <w:lang w:val="es-ES" w:eastAsia="ja-JP"/>
              </w:rPr>
              <w:t>tanto para consumo humano, como para satisfacer la demanda de los sectores productivos.</w:t>
            </w:r>
            <w:bookmarkEnd w:id="1"/>
          </w:p>
        </w:tc>
      </w:tr>
      <w:tr w:rsidR="0089380B" w:rsidRPr="00B80A32" w:rsidTr="0089380B">
        <w:trPr>
          <w:trHeight w:val="1513"/>
          <w:jc w:val="center"/>
        </w:trPr>
        <w:tc>
          <w:tcPr>
            <w:tcW w:w="8745" w:type="dxa"/>
            <w:shd w:val="clear" w:color="auto" w:fill="E3DED1" w:themeFill="background2"/>
          </w:tcPr>
          <w:p w:rsidR="0089380B" w:rsidRPr="00B80A32" w:rsidRDefault="0089380B" w:rsidP="00781327">
            <w:pPr>
              <w:spacing w:before="120"/>
              <w:jc w:val="both"/>
              <w:rPr>
                <w:rFonts w:cs="Arial"/>
              </w:rPr>
            </w:pPr>
            <w:r w:rsidRPr="00B80A32">
              <w:rPr>
                <w:rFonts w:cs="Arial"/>
                <w:b/>
              </w:rPr>
              <w:t>DURACIÓN</w:t>
            </w:r>
            <w:r w:rsidRPr="00B80A32">
              <w:rPr>
                <w:rFonts w:cs="Arial"/>
              </w:rPr>
              <w:t xml:space="preserve">: Los proyectos adjudicados podrán tener una duración de hasta tres (3) años.  </w:t>
            </w:r>
          </w:p>
          <w:p w:rsidR="0075604B" w:rsidRPr="00B80A32" w:rsidRDefault="0089380B" w:rsidP="0075604B">
            <w:pPr>
              <w:spacing w:before="120"/>
              <w:jc w:val="both"/>
              <w:rPr>
                <w:rFonts w:eastAsia="MS Mincho" w:cs="Arial"/>
                <w:lang w:val="es-ES" w:eastAsia="ja-JP"/>
              </w:rPr>
            </w:pPr>
            <w:r w:rsidRPr="00B80A32">
              <w:rPr>
                <w:rFonts w:cs="Arial"/>
                <w:b/>
              </w:rPr>
              <w:t>MONTOS:</w:t>
            </w:r>
            <w:r w:rsidRPr="00B80A32">
              <w:rPr>
                <w:rFonts w:cs="Arial"/>
              </w:rPr>
              <w:t xml:space="preserve"> </w:t>
            </w:r>
            <w:r w:rsidR="0075604B" w:rsidRPr="00B80A32">
              <w:rPr>
                <w:rFonts w:eastAsia="MS Mincho" w:cs="Arial"/>
                <w:lang w:val="es-ES" w:eastAsia="ja-JP"/>
              </w:rPr>
              <w:t>La SENACYT financiará hasta Doscientos Mil balboas (B</w:t>
            </w:r>
            <w:proofErr w:type="gramStart"/>
            <w:r w:rsidR="0075604B" w:rsidRPr="00B80A32">
              <w:rPr>
                <w:rFonts w:eastAsia="MS Mincho" w:cs="Arial"/>
                <w:lang w:val="es-ES" w:eastAsia="ja-JP"/>
              </w:rPr>
              <w:t>/.200,000.00</w:t>
            </w:r>
            <w:proofErr w:type="gramEnd"/>
            <w:r w:rsidR="0075604B" w:rsidRPr="00B80A32">
              <w:rPr>
                <w:rFonts w:eastAsia="MS Mincho" w:cs="Arial"/>
                <w:lang w:val="es-ES" w:eastAsia="ja-JP"/>
              </w:rPr>
              <w:t>) de la totalidad del proyecto.  El proponente debe contar con un compromiso tangible de contraparte (en especie o en efectivo) del monto total de proyecto.</w:t>
            </w:r>
          </w:p>
          <w:p w:rsidR="0089380B" w:rsidRPr="00B80A32" w:rsidRDefault="0075604B" w:rsidP="0075604B">
            <w:pPr>
              <w:widowControl w:val="0"/>
              <w:spacing w:before="120"/>
              <w:jc w:val="both"/>
              <w:rPr>
                <w:rFonts w:cs="Arial"/>
              </w:rPr>
            </w:pPr>
            <w:r w:rsidRPr="00B80A32">
              <w:rPr>
                <w:rFonts w:eastAsia="MS Mincho" w:cs="Arial"/>
                <w:lang w:val="es-ES" w:eastAsia="ja-JP"/>
              </w:rPr>
              <w:t>El proponente debe asegurarse que la distribución de fondos de su propuesta vaya acorde al objetivo del Programa.  Es responsabilidad del proponente sustentar el impacto de la propuesta, su pertinencia con el PNSH y el mérito científico de la misma. Las propuestas seleccionadas podrán ser financiadas con recursos del BID.</w:t>
            </w:r>
          </w:p>
        </w:tc>
      </w:tr>
    </w:tbl>
    <w:p w:rsidR="0089380B" w:rsidRDefault="0089380B">
      <w:pPr>
        <w:rPr>
          <w:b/>
        </w:rPr>
      </w:pPr>
      <w:r w:rsidRPr="00B80A32">
        <w:rPr>
          <w:b/>
        </w:rPr>
        <w:br w:type="page"/>
      </w:r>
    </w:p>
    <w:p w:rsidR="0089380B" w:rsidRDefault="0089380B" w:rsidP="0089380B">
      <w:pPr>
        <w:pStyle w:val="Default"/>
        <w:rPr>
          <w:rFonts w:asciiTheme="minorHAnsi" w:hAnsiTheme="minorHAnsi"/>
          <w:b/>
          <w:bCs/>
          <w:sz w:val="22"/>
          <w:szCs w:val="22"/>
        </w:rPr>
      </w:pPr>
      <w:r w:rsidRPr="0089380B">
        <w:rPr>
          <w:rFonts w:asciiTheme="minorHAnsi" w:hAnsiTheme="minorHAnsi"/>
          <w:b/>
          <w:bCs/>
          <w:sz w:val="22"/>
          <w:szCs w:val="22"/>
        </w:rPr>
        <w:t xml:space="preserve">EVALUACIÓN DE LOS PROYECTOS </w:t>
      </w:r>
    </w:p>
    <w:p w:rsidR="008F7535" w:rsidRDefault="0075604B" w:rsidP="001252AA">
      <w:pPr>
        <w:pStyle w:val="Default"/>
        <w:rPr>
          <w:rFonts w:asciiTheme="minorHAnsi" w:hAnsiTheme="minorHAnsi"/>
          <w:b/>
          <w:color w:val="auto"/>
          <w:sz w:val="22"/>
          <w:szCs w:val="22"/>
        </w:rPr>
      </w:pPr>
      <w:r w:rsidRPr="0075604B">
        <w:rPr>
          <w:rFonts w:ascii="Arial" w:eastAsia="Times New Roman" w:hAnsi="Arial" w:cs="Arial"/>
          <w:color w:val="auto"/>
          <w:sz w:val="14"/>
          <w:szCs w:val="14"/>
          <w:lang w:val="es-ES" w:eastAsia="es-ES"/>
        </w:rPr>
        <w:t xml:space="preserve">La evaluación de las propuestas será realizada por un Comité de Evaluación externo a la SENACYT.  La Secretaría Nacional hace uso de especialistas nacionales e internacionales.  Entre los evaluadores idóneos por área, modalidad o convocatoria, según sea el caso, la asignación para cada propuesta será realizada al azar para minimizar sesgos. Los evaluadores idóneos de la convocatoria, serán asignados a cada propuesta al azar para minimizar sesgos. Los evaluadores deberán dejar constancia escrita de la ausencia de conflictos de intereses y suscribirán una declaración de confidencialidad.  La SENACYT se reserva el derecho de no adjudicar ninguna propuesta si las que fueron recibidas no cumplen con los criterios y calidad esperados, o si las circunstancias presupuestarias impiden las adjudicaciones.  </w:t>
      </w:r>
    </w:p>
    <w:p w:rsidR="0075604B" w:rsidRDefault="0075604B" w:rsidP="001252AA">
      <w:pPr>
        <w:pStyle w:val="Default"/>
        <w:rPr>
          <w:rFonts w:asciiTheme="minorHAnsi" w:hAnsiTheme="minorHAnsi"/>
          <w:b/>
          <w:color w:val="auto"/>
          <w:sz w:val="22"/>
          <w:szCs w:val="22"/>
        </w:rPr>
      </w:pPr>
    </w:p>
    <w:p w:rsidR="001252AA" w:rsidRDefault="001252AA" w:rsidP="001252AA">
      <w:pPr>
        <w:pStyle w:val="Default"/>
        <w:rPr>
          <w:rFonts w:asciiTheme="minorHAnsi" w:hAnsiTheme="minorHAnsi"/>
          <w:b/>
          <w:color w:val="auto"/>
          <w:sz w:val="22"/>
          <w:szCs w:val="22"/>
        </w:rPr>
      </w:pPr>
      <w:r w:rsidRPr="001D4CA9">
        <w:rPr>
          <w:rFonts w:asciiTheme="minorHAnsi" w:hAnsiTheme="minorHAnsi"/>
          <w:b/>
          <w:color w:val="auto"/>
          <w:sz w:val="22"/>
          <w:szCs w:val="22"/>
        </w:rPr>
        <w:t>COMITÉ DE AGENDA</w:t>
      </w:r>
    </w:p>
    <w:p w:rsidR="001252AA" w:rsidRDefault="001252AA" w:rsidP="001252AA">
      <w:pPr>
        <w:pStyle w:val="Default"/>
        <w:rPr>
          <w:rFonts w:asciiTheme="minorHAnsi" w:hAnsiTheme="minorHAnsi"/>
          <w:b/>
          <w:color w:val="auto"/>
          <w:sz w:val="22"/>
          <w:szCs w:val="22"/>
        </w:rPr>
      </w:pPr>
    </w:p>
    <w:p w:rsidR="001252AA" w:rsidRPr="001D4CA9" w:rsidRDefault="001D4CA9" w:rsidP="001D4CA9">
      <w:pPr>
        <w:pStyle w:val="Default"/>
        <w:jc w:val="both"/>
        <w:rPr>
          <w:rFonts w:asciiTheme="minorHAnsi" w:hAnsiTheme="minorHAnsi"/>
          <w:color w:val="auto"/>
          <w:sz w:val="22"/>
          <w:szCs w:val="22"/>
        </w:rPr>
      </w:pPr>
      <w:r w:rsidRPr="001D4CA9">
        <w:rPr>
          <w:rFonts w:asciiTheme="minorHAnsi" w:hAnsiTheme="minorHAnsi"/>
          <w:color w:val="auto"/>
          <w:sz w:val="22"/>
          <w:szCs w:val="22"/>
        </w:rPr>
        <w:t>Grupo de aportes neutrales que colaboran con la SENACYT para asesorar y validar la misión que apunta a apoyar las convocatorias por misión. Las apreciaciones que brinda el Comité de Agenda deben orientar a los criterios de evaluación utilizados por el Comité Evaluador.</w:t>
      </w:r>
    </w:p>
    <w:p w:rsidR="001D4CA9" w:rsidRPr="001D4CA9" w:rsidRDefault="001D4CA9" w:rsidP="001D4CA9">
      <w:pPr>
        <w:pStyle w:val="Default"/>
        <w:jc w:val="both"/>
        <w:rPr>
          <w:rFonts w:asciiTheme="minorHAnsi" w:hAnsiTheme="minorHAnsi"/>
          <w:color w:val="auto"/>
          <w:sz w:val="22"/>
          <w:szCs w:val="22"/>
        </w:rPr>
      </w:pPr>
      <w:r w:rsidRPr="001D4CA9">
        <w:rPr>
          <w:rFonts w:asciiTheme="minorHAnsi" w:hAnsiTheme="minorHAnsi"/>
          <w:color w:val="auto"/>
          <w:sz w:val="22"/>
          <w:szCs w:val="22"/>
        </w:rPr>
        <w:t>El Comité de Agenda estará formado por al menos tres a cinco expertos nacionales de reconocida trayectoria científica y técnica en el campo de la misión planteada.  Los miembros del Comité de Agenda serán nombrados mediante Resolución Administrativa de la SENACYT.</w:t>
      </w:r>
    </w:p>
    <w:p w:rsidR="001D4CA9" w:rsidRPr="00254D89" w:rsidRDefault="001D4CA9" w:rsidP="001252AA">
      <w:pPr>
        <w:pStyle w:val="Default"/>
        <w:rPr>
          <w:rFonts w:asciiTheme="minorHAnsi" w:hAnsiTheme="minorHAnsi"/>
          <w:color w:val="FF0000"/>
          <w:sz w:val="22"/>
          <w:szCs w:val="22"/>
        </w:rPr>
      </w:pPr>
    </w:p>
    <w:p w:rsidR="0089380B" w:rsidRPr="0089380B" w:rsidRDefault="0089380B" w:rsidP="0089380B">
      <w:pPr>
        <w:pStyle w:val="Default"/>
        <w:rPr>
          <w:rFonts w:asciiTheme="minorHAnsi" w:hAnsiTheme="minorHAnsi"/>
          <w:sz w:val="22"/>
          <w:szCs w:val="22"/>
        </w:rPr>
      </w:pPr>
      <w:r w:rsidRPr="0089380B">
        <w:rPr>
          <w:rFonts w:asciiTheme="minorHAnsi" w:hAnsiTheme="minorHAnsi"/>
          <w:b/>
          <w:bCs/>
          <w:sz w:val="22"/>
          <w:szCs w:val="22"/>
        </w:rPr>
        <w:t xml:space="preserve">DIVULGACIÓN </w:t>
      </w:r>
      <w:r w:rsidR="00DF004C">
        <w:rPr>
          <w:rFonts w:asciiTheme="minorHAnsi" w:hAnsiTheme="minorHAnsi"/>
          <w:b/>
          <w:bCs/>
          <w:sz w:val="22"/>
          <w:szCs w:val="22"/>
        </w:rPr>
        <w:t>DE LOS RESULTADOS DEL PROYECTO</w:t>
      </w:r>
    </w:p>
    <w:p w:rsidR="0089380B" w:rsidRPr="0089380B" w:rsidRDefault="0089380B" w:rsidP="00DF004C">
      <w:pPr>
        <w:pStyle w:val="Default"/>
        <w:jc w:val="both"/>
        <w:rPr>
          <w:rFonts w:asciiTheme="minorHAnsi" w:hAnsiTheme="minorHAnsi"/>
          <w:sz w:val="22"/>
          <w:szCs w:val="22"/>
        </w:rPr>
      </w:pPr>
      <w:r w:rsidRPr="0089380B">
        <w:rPr>
          <w:rFonts w:asciiTheme="minorHAnsi" w:hAnsiTheme="minorHAnsi"/>
          <w:sz w:val="22"/>
          <w:szCs w:val="22"/>
        </w:rPr>
        <w:t xml:space="preserve">Con el objetivo de acercar los conocimientos adquiridos a un público amplio, promover diálogos entre quienes los generan y los distintos sectores sociales, se deberá destinar al menos 5% del monto otorgado a la divulgación del proyecto. Los proyectos deberán traducir estos conocimientos científico-tecnológicos de manera que puedan ser entendidos por personas que no conocen sobre la temática específica, facilitar y fomentar los procesos de democratización y apropiación social. </w:t>
      </w:r>
    </w:p>
    <w:p w:rsidR="00DF004C" w:rsidRDefault="00DF004C" w:rsidP="0089380B">
      <w:pPr>
        <w:pStyle w:val="Default"/>
        <w:rPr>
          <w:rFonts w:asciiTheme="minorHAnsi" w:hAnsiTheme="minorHAnsi"/>
          <w:b/>
          <w:bCs/>
          <w:sz w:val="22"/>
          <w:szCs w:val="22"/>
        </w:rPr>
      </w:pPr>
    </w:p>
    <w:p w:rsidR="0089380B" w:rsidRPr="0089380B" w:rsidRDefault="0089380B" w:rsidP="0089380B">
      <w:pPr>
        <w:pStyle w:val="Default"/>
        <w:rPr>
          <w:rFonts w:asciiTheme="minorHAnsi" w:hAnsiTheme="minorHAnsi"/>
          <w:sz w:val="22"/>
          <w:szCs w:val="22"/>
        </w:rPr>
      </w:pPr>
      <w:r w:rsidRPr="0089380B">
        <w:rPr>
          <w:rFonts w:asciiTheme="minorHAnsi" w:hAnsiTheme="minorHAnsi"/>
          <w:b/>
          <w:bCs/>
          <w:sz w:val="22"/>
          <w:szCs w:val="22"/>
        </w:rPr>
        <w:t xml:space="preserve">PROPIEDAD INTELECTUAL Y OBLIGACIÓN DE CONFIDENCIALIDAD </w:t>
      </w:r>
    </w:p>
    <w:p w:rsidR="0089380B" w:rsidRPr="001D4CA9" w:rsidRDefault="0089380B" w:rsidP="00DF004C">
      <w:pPr>
        <w:pStyle w:val="Default"/>
        <w:jc w:val="both"/>
        <w:rPr>
          <w:rFonts w:asciiTheme="minorHAnsi" w:hAnsiTheme="minorHAnsi"/>
          <w:color w:val="auto"/>
          <w:sz w:val="22"/>
          <w:szCs w:val="22"/>
        </w:rPr>
      </w:pPr>
      <w:r w:rsidRPr="0089380B">
        <w:rPr>
          <w:rFonts w:asciiTheme="minorHAnsi" w:hAnsiTheme="minorHAnsi"/>
          <w:sz w:val="22"/>
          <w:szCs w:val="22"/>
        </w:rPr>
        <w:t xml:space="preserve">La propiedad intelectual del trabajo es del proponente. </w:t>
      </w:r>
      <w:r w:rsidR="001D4CA9">
        <w:rPr>
          <w:rFonts w:asciiTheme="minorHAnsi" w:hAnsiTheme="minorHAnsi"/>
          <w:color w:val="auto"/>
          <w:sz w:val="22"/>
          <w:szCs w:val="22"/>
        </w:rPr>
        <w:t>Sin embargo, por</w:t>
      </w:r>
      <w:r w:rsidRPr="001D4CA9">
        <w:rPr>
          <w:rFonts w:asciiTheme="minorHAnsi" w:hAnsiTheme="minorHAnsi"/>
          <w:color w:val="auto"/>
          <w:sz w:val="22"/>
          <w:szCs w:val="22"/>
        </w:rPr>
        <w:t xml:space="preserve"> otra parte</w:t>
      </w:r>
      <w:r w:rsidR="001D4CA9">
        <w:rPr>
          <w:rFonts w:asciiTheme="minorHAnsi" w:hAnsiTheme="minorHAnsi"/>
          <w:color w:val="auto"/>
          <w:sz w:val="22"/>
          <w:szCs w:val="22"/>
        </w:rPr>
        <w:t>,</w:t>
      </w:r>
      <w:r w:rsidRPr="001D4CA9">
        <w:rPr>
          <w:rFonts w:asciiTheme="minorHAnsi" w:hAnsiTheme="minorHAnsi"/>
          <w:color w:val="auto"/>
          <w:sz w:val="22"/>
          <w:szCs w:val="22"/>
        </w:rPr>
        <w:t xml:space="preserve"> las instituciones que financian el Fondo se reservan el derecho de uso del trabajo y sus resultados exclusivamente para sí y no para la prestación de servicios a terceros, sin que por ello deban abonar contraprestación alguna. Adicionalmente, las instituciones que financian el Fondo deberán guardar reserva de la información confidencial del beneficiario a la que accedan y que no resulte de dominio público, obligándose a no difundirla o permitir su acceso por terceros. En caso que se pretenda dar difusión total o parcial al trabajo del beneficiario o sus resultados, dichas instituciones deberán obtener previamente la conformidad por escrito del beneficiario. </w:t>
      </w:r>
    </w:p>
    <w:p w:rsidR="00DF004C" w:rsidRDefault="00DF004C" w:rsidP="0089380B">
      <w:pPr>
        <w:pStyle w:val="Default"/>
        <w:rPr>
          <w:rFonts w:asciiTheme="minorHAnsi" w:hAnsiTheme="minorHAnsi"/>
          <w:b/>
          <w:bCs/>
          <w:sz w:val="22"/>
          <w:szCs w:val="22"/>
        </w:rPr>
      </w:pPr>
    </w:p>
    <w:p w:rsidR="0089380B" w:rsidRPr="0089380B" w:rsidRDefault="0089380B" w:rsidP="0089380B">
      <w:pPr>
        <w:pStyle w:val="Default"/>
        <w:rPr>
          <w:rFonts w:asciiTheme="minorHAnsi" w:hAnsiTheme="minorHAnsi"/>
          <w:sz w:val="22"/>
          <w:szCs w:val="22"/>
        </w:rPr>
      </w:pPr>
      <w:r w:rsidRPr="0089380B">
        <w:rPr>
          <w:rFonts w:asciiTheme="minorHAnsi" w:hAnsiTheme="minorHAnsi"/>
          <w:b/>
          <w:bCs/>
          <w:sz w:val="22"/>
          <w:szCs w:val="22"/>
        </w:rPr>
        <w:t xml:space="preserve">FORMALIZACIÓN DEL FINANCIAMIENTO, SEGUIMIENTO Y DESEMBOLSOS </w:t>
      </w:r>
    </w:p>
    <w:p w:rsidR="0089380B" w:rsidRPr="0089380B" w:rsidRDefault="0089380B" w:rsidP="0089380B">
      <w:pPr>
        <w:pStyle w:val="Default"/>
        <w:rPr>
          <w:rFonts w:asciiTheme="minorHAnsi" w:hAnsiTheme="minorHAnsi"/>
          <w:sz w:val="22"/>
          <w:szCs w:val="22"/>
        </w:rPr>
      </w:pPr>
      <w:r w:rsidRPr="0089380B">
        <w:rPr>
          <w:rFonts w:asciiTheme="minorHAnsi" w:hAnsiTheme="minorHAnsi"/>
          <w:sz w:val="22"/>
          <w:szCs w:val="22"/>
        </w:rPr>
        <w:t xml:space="preserve">El financiamiento de </w:t>
      </w:r>
      <w:r w:rsidR="00DF004C">
        <w:rPr>
          <w:rFonts w:asciiTheme="minorHAnsi" w:hAnsiTheme="minorHAnsi"/>
          <w:sz w:val="22"/>
          <w:szCs w:val="22"/>
        </w:rPr>
        <w:t xml:space="preserve">los proyectos que resulten beneficiados </w:t>
      </w:r>
      <w:r w:rsidRPr="0089380B">
        <w:rPr>
          <w:rFonts w:asciiTheme="minorHAnsi" w:hAnsiTheme="minorHAnsi"/>
          <w:sz w:val="22"/>
          <w:szCs w:val="22"/>
        </w:rPr>
        <w:t>se formalizará a tra</w:t>
      </w:r>
      <w:r w:rsidR="001D4CA9">
        <w:rPr>
          <w:rFonts w:asciiTheme="minorHAnsi" w:hAnsiTheme="minorHAnsi"/>
          <w:sz w:val="22"/>
          <w:szCs w:val="22"/>
        </w:rPr>
        <w:t>vés de la firma de un contrato por mérito</w:t>
      </w:r>
    </w:p>
    <w:p w:rsidR="0089380B" w:rsidRPr="0089380B" w:rsidRDefault="0089380B" w:rsidP="0089380B">
      <w:pPr>
        <w:pStyle w:val="Default"/>
        <w:rPr>
          <w:rFonts w:asciiTheme="minorHAnsi" w:hAnsiTheme="minorHAnsi"/>
          <w:sz w:val="22"/>
          <w:szCs w:val="22"/>
        </w:rPr>
      </w:pPr>
      <w:r w:rsidRPr="0089380B">
        <w:rPr>
          <w:rFonts w:asciiTheme="minorHAnsi" w:hAnsiTheme="minorHAnsi"/>
          <w:sz w:val="22"/>
          <w:szCs w:val="22"/>
        </w:rPr>
        <w:t xml:space="preserve">La </w:t>
      </w:r>
      <w:r w:rsidR="00DF004C">
        <w:rPr>
          <w:rFonts w:asciiTheme="minorHAnsi" w:hAnsiTheme="minorHAnsi"/>
          <w:sz w:val="22"/>
          <w:szCs w:val="22"/>
        </w:rPr>
        <w:t>SENACYT</w:t>
      </w:r>
      <w:r w:rsidRPr="0089380B">
        <w:rPr>
          <w:rFonts w:asciiTheme="minorHAnsi" w:hAnsiTheme="minorHAnsi"/>
          <w:sz w:val="22"/>
          <w:szCs w:val="22"/>
        </w:rPr>
        <w:t xml:space="preserve"> cumplirá las tareas de seguimiento técnico y financiero de los proyectos, de acuerdo a los planes de actividades e hitos indicados en los mismos </w:t>
      </w:r>
    </w:p>
    <w:p w:rsidR="00DF004C" w:rsidRDefault="0089380B" w:rsidP="0089380B">
      <w:pPr>
        <w:jc w:val="both"/>
      </w:pPr>
      <w:r w:rsidRPr="0089380B">
        <w:t xml:space="preserve">Se realizará un primer desembolso contra la firma del contrato, y de acuerdo a la fecha de inicio del proyecto, y desembolsos sucesivos de acuerdo a la aprobación de los reportes de avance y financieros correspondientes a la duración del proyecto. </w:t>
      </w:r>
    </w:p>
    <w:p w:rsidR="00DF004C" w:rsidRDefault="00DF004C">
      <w:pPr>
        <w:rPr>
          <w:b/>
        </w:rPr>
      </w:pPr>
      <w:r>
        <w:rPr>
          <w:b/>
        </w:rPr>
        <w:t>Fuentes:</w:t>
      </w:r>
    </w:p>
    <w:p w:rsidR="00DF004C" w:rsidRDefault="00DF004C" w:rsidP="00DF004C">
      <w:pPr>
        <w:pStyle w:val="Prrafodelista"/>
        <w:numPr>
          <w:ilvl w:val="0"/>
          <w:numId w:val="12"/>
        </w:numPr>
      </w:pPr>
      <w:r w:rsidRPr="00DF004C">
        <w:t>Plan Nacional de Seguridad Hídrica</w:t>
      </w:r>
    </w:p>
    <w:p w:rsidR="00DF004C" w:rsidRDefault="00DF004C" w:rsidP="00DF004C">
      <w:pPr>
        <w:pStyle w:val="Prrafodelista"/>
        <w:numPr>
          <w:ilvl w:val="0"/>
          <w:numId w:val="12"/>
        </w:numPr>
      </w:pPr>
      <w:r>
        <w:t>Resolución de Gabinete 114 de 2016</w:t>
      </w:r>
    </w:p>
    <w:p w:rsidR="00254D89" w:rsidRDefault="00B80A32" w:rsidP="00254D89">
      <w:pPr>
        <w:pStyle w:val="Prrafodelista"/>
        <w:numPr>
          <w:ilvl w:val="0"/>
          <w:numId w:val="12"/>
        </w:numPr>
      </w:pPr>
      <w:hyperlink r:id="rId8" w:history="1">
        <w:r w:rsidR="00254D89">
          <w:rPr>
            <w:rStyle w:val="Hipervnculo"/>
          </w:rPr>
          <w:t>http://www.anii.org.uy/upcms/files/llamados/documentos/1473273108_bases-fse-1-2016-modalidad-i.pdf</w:t>
        </w:r>
      </w:hyperlink>
      <w:r w:rsidR="00254D89">
        <w:t xml:space="preserve"> </w:t>
      </w:r>
    </w:p>
    <w:p w:rsidR="00254D89" w:rsidRDefault="00B80A32" w:rsidP="00254D89">
      <w:pPr>
        <w:pStyle w:val="Prrafodelista"/>
        <w:numPr>
          <w:ilvl w:val="0"/>
          <w:numId w:val="12"/>
        </w:numPr>
      </w:pPr>
      <w:hyperlink r:id="rId9" w:history="1">
        <w:r w:rsidR="00254D89">
          <w:rPr>
            <w:rStyle w:val="Hipervnculo"/>
          </w:rPr>
          <w:t>http://www.anii.org.uy/upcms/files/llamados/documentos/1473273108_bases-fse-1-2016-modalidad-i.pdf</w:t>
        </w:r>
      </w:hyperlink>
      <w:r w:rsidR="00254D89">
        <w:t xml:space="preserve"> </w:t>
      </w:r>
    </w:p>
    <w:p w:rsidR="00254D89" w:rsidRPr="00DF004C" w:rsidRDefault="00254D89" w:rsidP="00DF004C">
      <w:pPr>
        <w:pStyle w:val="Prrafodelista"/>
        <w:numPr>
          <w:ilvl w:val="0"/>
          <w:numId w:val="12"/>
        </w:numPr>
      </w:pPr>
    </w:p>
    <w:p w:rsidR="004D1951" w:rsidRPr="00254D89" w:rsidRDefault="004D1951" w:rsidP="00AD5F9B">
      <w:pPr>
        <w:rPr>
          <w:b/>
        </w:rPr>
      </w:pPr>
    </w:p>
    <w:sectPr w:rsidR="004D1951" w:rsidRPr="00254D89" w:rsidSect="004D19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D7B" w:rsidRDefault="00AB7D7B" w:rsidP="007B7840">
      <w:pPr>
        <w:spacing w:after="0" w:line="240" w:lineRule="auto"/>
      </w:pPr>
      <w:r>
        <w:separator/>
      </w:r>
    </w:p>
  </w:endnote>
  <w:endnote w:type="continuationSeparator" w:id="0">
    <w:p w:rsidR="00AB7D7B" w:rsidRDefault="00AB7D7B" w:rsidP="007B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D7B" w:rsidRDefault="00AB7D7B" w:rsidP="007B7840">
      <w:pPr>
        <w:spacing w:after="0" w:line="240" w:lineRule="auto"/>
      </w:pPr>
      <w:r>
        <w:separator/>
      </w:r>
    </w:p>
  </w:footnote>
  <w:footnote w:type="continuationSeparator" w:id="0">
    <w:p w:rsidR="00AB7D7B" w:rsidRDefault="00AB7D7B" w:rsidP="007B7840">
      <w:pPr>
        <w:spacing w:after="0" w:line="240" w:lineRule="auto"/>
      </w:pPr>
      <w:r>
        <w:continuationSeparator/>
      </w:r>
    </w:p>
  </w:footnote>
  <w:footnote w:id="1">
    <w:p w:rsidR="007B7840" w:rsidRDefault="007B7840">
      <w:pPr>
        <w:pStyle w:val="Textonotapie"/>
      </w:pPr>
      <w:r>
        <w:rPr>
          <w:rStyle w:val="Refdenotaalpie"/>
        </w:rPr>
        <w:footnoteRef/>
      </w:r>
      <w:r>
        <w:t xml:space="preserve"> SENACYT participó de todas las reuniones del Comité de Alto Nivel, más no forma parte de las instituciones que conforman el Comité.</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035"/>
    <w:multiLevelType w:val="hybridMultilevel"/>
    <w:tmpl w:val="DE087CC4"/>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 w15:restartNumberingAfterBreak="0">
    <w:nsid w:val="0BCA7A9C"/>
    <w:multiLevelType w:val="hybridMultilevel"/>
    <w:tmpl w:val="270EBF8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D2A1834"/>
    <w:multiLevelType w:val="hybridMultilevel"/>
    <w:tmpl w:val="89CAAD0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2D427EDC"/>
    <w:multiLevelType w:val="hybridMultilevel"/>
    <w:tmpl w:val="3FFE702E"/>
    <w:lvl w:ilvl="0" w:tplc="180A000F">
      <w:start w:val="1"/>
      <w:numFmt w:val="decimal"/>
      <w:lvlText w:val="%1."/>
      <w:lvlJc w:val="left"/>
      <w:pPr>
        <w:ind w:left="720" w:hanging="360"/>
      </w:pPr>
      <w:rPr>
        <w:rFont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41F060A1"/>
    <w:multiLevelType w:val="hybridMultilevel"/>
    <w:tmpl w:val="9F06124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4A927499"/>
    <w:multiLevelType w:val="hybridMultilevel"/>
    <w:tmpl w:val="BD8AC708"/>
    <w:lvl w:ilvl="0" w:tplc="F05233AA">
      <w:start w:val="1"/>
      <w:numFmt w:val="decimal"/>
      <w:lvlText w:val="%1."/>
      <w:lvlJc w:val="left"/>
      <w:pPr>
        <w:ind w:left="360" w:hanging="360"/>
      </w:pPr>
      <w:rPr>
        <w:rFonts w:hint="default"/>
        <w:strike w:val="0"/>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4BDD2B17"/>
    <w:multiLevelType w:val="hybridMultilevel"/>
    <w:tmpl w:val="B1964162"/>
    <w:lvl w:ilvl="0" w:tplc="180A0001">
      <w:start w:val="1"/>
      <w:numFmt w:val="bullet"/>
      <w:lvlText w:val=""/>
      <w:lvlJc w:val="left"/>
      <w:pPr>
        <w:ind w:left="780" w:hanging="360"/>
      </w:pPr>
      <w:rPr>
        <w:rFonts w:ascii="Symbol" w:hAnsi="Symbol" w:hint="default"/>
      </w:rPr>
    </w:lvl>
    <w:lvl w:ilvl="1" w:tplc="180A0019" w:tentative="1">
      <w:start w:val="1"/>
      <w:numFmt w:val="lowerLetter"/>
      <w:lvlText w:val="%2."/>
      <w:lvlJc w:val="left"/>
      <w:pPr>
        <w:ind w:left="1500" w:hanging="360"/>
      </w:pPr>
    </w:lvl>
    <w:lvl w:ilvl="2" w:tplc="180A001B" w:tentative="1">
      <w:start w:val="1"/>
      <w:numFmt w:val="lowerRoman"/>
      <w:lvlText w:val="%3."/>
      <w:lvlJc w:val="right"/>
      <w:pPr>
        <w:ind w:left="2220" w:hanging="180"/>
      </w:pPr>
    </w:lvl>
    <w:lvl w:ilvl="3" w:tplc="180A000F" w:tentative="1">
      <w:start w:val="1"/>
      <w:numFmt w:val="decimal"/>
      <w:lvlText w:val="%4."/>
      <w:lvlJc w:val="left"/>
      <w:pPr>
        <w:ind w:left="2940" w:hanging="360"/>
      </w:pPr>
    </w:lvl>
    <w:lvl w:ilvl="4" w:tplc="180A0019" w:tentative="1">
      <w:start w:val="1"/>
      <w:numFmt w:val="lowerLetter"/>
      <w:lvlText w:val="%5."/>
      <w:lvlJc w:val="left"/>
      <w:pPr>
        <w:ind w:left="3660" w:hanging="360"/>
      </w:pPr>
    </w:lvl>
    <w:lvl w:ilvl="5" w:tplc="180A001B" w:tentative="1">
      <w:start w:val="1"/>
      <w:numFmt w:val="lowerRoman"/>
      <w:lvlText w:val="%6."/>
      <w:lvlJc w:val="right"/>
      <w:pPr>
        <w:ind w:left="4380" w:hanging="180"/>
      </w:pPr>
    </w:lvl>
    <w:lvl w:ilvl="6" w:tplc="180A000F" w:tentative="1">
      <w:start w:val="1"/>
      <w:numFmt w:val="decimal"/>
      <w:lvlText w:val="%7."/>
      <w:lvlJc w:val="left"/>
      <w:pPr>
        <w:ind w:left="5100" w:hanging="360"/>
      </w:pPr>
    </w:lvl>
    <w:lvl w:ilvl="7" w:tplc="180A0019" w:tentative="1">
      <w:start w:val="1"/>
      <w:numFmt w:val="lowerLetter"/>
      <w:lvlText w:val="%8."/>
      <w:lvlJc w:val="left"/>
      <w:pPr>
        <w:ind w:left="5820" w:hanging="360"/>
      </w:pPr>
    </w:lvl>
    <w:lvl w:ilvl="8" w:tplc="180A001B" w:tentative="1">
      <w:start w:val="1"/>
      <w:numFmt w:val="lowerRoman"/>
      <w:lvlText w:val="%9."/>
      <w:lvlJc w:val="right"/>
      <w:pPr>
        <w:ind w:left="6540" w:hanging="180"/>
      </w:pPr>
    </w:lvl>
  </w:abstractNum>
  <w:abstractNum w:abstractNumId="7" w15:restartNumberingAfterBreak="0">
    <w:nsid w:val="4CC4376D"/>
    <w:multiLevelType w:val="hybridMultilevel"/>
    <w:tmpl w:val="143A7532"/>
    <w:lvl w:ilvl="0" w:tplc="180A000F">
      <w:start w:val="1"/>
      <w:numFmt w:val="decimal"/>
      <w:lvlText w:val="%1."/>
      <w:lvlJc w:val="left"/>
      <w:pPr>
        <w:ind w:left="780" w:hanging="360"/>
      </w:pPr>
    </w:lvl>
    <w:lvl w:ilvl="1" w:tplc="180A0019" w:tentative="1">
      <w:start w:val="1"/>
      <w:numFmt w:val="lowerLetter"/>
      <w:lvlText w:val="%2."/>
      <w:lvlJc w:val="left"/>
      <w:pPr>
        <w:ind w:left="1500" w:hanging="360"/>
      </w:pPr>
    </w:lvl>
    <w:lvl w:ilvl="2" w:tplc="180A001B" w:tentative="1">
      <w:start w:val="1"/>
      <w:numFmt w:val="lowerRoman"/>
      <w:lvlText w:val="%3."/>
      <w:lvlJc w:val="right"/>
      <w:pPr>
        <w:ind w:left="2220" w:hanging="180"/>
      </w:pPr>
    </w:lvl>
    <w:lvl w:ilvl="3" w:tplc="180A000F" w:tentative="1">
      <w:start w:val="1"/>
      <w:numFmt w:val="decimal"/>
      <w:lvlText w:val="%4."/>
      <w:lvlJc w:val="left"/>
      <w:pPr>
        <w:ind w:left="2940" w:hanging="360"/>
      </w:pPr>
    </w:lvl>
    <w:lvl w:ilvl="4" w:tplc="180A0019" w:tentative="1">
      <w:start w:val="1"/>
      <w:numFmt w:val="lowerLetter"/>
      <w:lvlText w:val="%5."/>
      <w:lvlJc w:val="left"/>
      <w:pPr>
        <w:ind w:left="3660" w:hanging="360"/>
      </w:pPr>
    </w:lvl>
    <w:lvl w:ilvl="5" w:tplc="180A001B" w:tentative="1">
      <w:start w:val="1"/>
      <w:numFmt w:val="lowerRoman"/>
      <w:lvlText w:val="%6."/>
      <w:lvlJc w:val="right"/>
      <w:pPr>
        <w:ind w:left="4380" w:hanging="180"/>
      </w:pPr>
    </w:lvl>
    <w:lvl w:ilvl="6" w:tplc="180A000F" w:tentative="1">
      <w:start w:val="1"/>
      <w:numFmt w:val="decimal"/>
      <w:lvlText w:val="%7."/>
      <w:lvlJc w:val="left"/>
      <w:pPr>
        <w:ind w:left="5100" w:hanging="360"/>
      </w:pPr>
    </w:lvl>
    <w:lvl w:ilvl="7" w:tplc="180A0019" w:tentative="1">
      <w:start w:val="1"/>
      <w:numFmt w:val="lowerLetter"/>
      <w:lvlText w:val="%8."/>
      <w:lvlJc w:val="left"/>
      <w:pPr>
        <w:ind w:left="5820" w:hanging="360"/>
      </w:pPr>
    </w:lvl>
    <w:lvl w:ilvl="8" w:tplc="180A001B" w:tentative="1">
      <w:start w:val="1"/>
      <w:numFmt w:val="lowerRoman"/>
      <w:lvlText w:val="%9."/>
      <w:lvlJc w:val="right"/>
      <w:pPr>
        <w:ind w:left="6540" w:hanging="180"/>
      </w:pPr>
    </w:lvl>
  </w:abstractNum>
  <w:abstractNum w:abstractNumId="8" w15:restartNumberingAfterBreak="0">
    <w:nsid w:val="4EED2FC9"/>
    <w:multiLevelType w:val="hybridMultilevel"/>
    <w:tmpl w:val="CA245C7C"/>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53A239FC"/>
    <w:multiLevelType w:val="hybridMultilevel"/>
    <w:tmpl w:val="560A448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5A77599E"/>
    <w:multiLevelType w:val="hybridMultilevel"/>
    <w:tmpl w:val="DF566EEC"/>
    <w:lvl w:ilvl="0" w:tplc="474EFCAC">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7"/>
  </w:num>
  <w:num w:numId="5">
    <w:abstractNumId w:val="6"/>
  </w:num>
  <w:num w:numId="6">
    <w:abstractNumId w:val="5"/>
  </w:num>
  <w:num w:numId="7">
    <w:abstractNumId w:val="11"/>
  </w:num>
  <w:num w:numId="8">
    <w:abstractNumId w:val="8"/>
  </w:num>
  <w:num w:numId="9">
    <w:abstractNumId w:val="10"/>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PA" w:vendorID="64" w:dllVersion="131078" w:nlCheck="1" w:checkStyle="0"/>
  <w:activeWritingStyle w:appName="MSWord" w:lang="es-AR"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9B"/>
    <w:rsid w:val="00023933"/>
    <w:rsid w:val="0009350D"/>
    <w:rsid w:val="000C1C97"/>
    <w:rsid w:val="001252AA"/>
    <w:rsid w:val="00142960"/>
    <w:rsid w:val="00146792"/>
    <w:rsid w:val="001578DA"/>
    <w:rsid w:val="001A32B6"/>
    <w:rsid w:val="001D4CA9"/>
    <w:rsid w:val="001E3F0C"/>
    <w:rsid w:val="001E4914"/>
    <w:rsid w:val="00254D89"/>
    <w:rsid w:val="004241E3"/>
    <w:rsid w:val="00475363"/>
    <w:rsid w:val="004A3C71"/>
    <w:rsid w:val="004D1951"/>
    <w:rsid w:val="005143AD"/>
    <w:rsid w:val="00560AA0"/>
    <w:rsid w:val="00574076"/>
    <w:rsid w:val="00635717"/>
    <w:rsid w:val="00684D7B"/>
    <w:rsid w:val="0075604B"/>
    <w:rsid w:val="00762E28"/>
    <w:rsid w:val="007A2F0D"/>
    <w:rsid w:val="007B7840"/>
    <w:rsid w:val="007E1C36"/>
    <w:rsid w:val="00856127"/>
    <w:rsid w:val="0089007E"/>
    <w:rsid w:val="0089380B"/>
    <w:rsid w:val="008F7535"/>
    <w:rsid w:val="00991461"/>
    <w:rsid w:val="009E3BCB"/>
    <w:rsid w:val="00A923CA"/>
    <w:rsid w:val="00AB7D7B"/>
    <w:rsid w:val="00AD5F9B"/>
    <w:rsid w:val="00AE6E8F"/>
    <w:rsid w:val="00AF7EF9"/>
    <w:rsid w:val="00B80A32"/>
    <w:rsid w:val="00BC4560"/>
    <w:rsid w:val="00C373D8"/>
    <w:rsid w:val="00C44845"/>
    <w:rsid w:val="00C8302F"/>
    <w:rsid w:val="00DF004C"/>
    <w:rsid w:val="00E42D3B"/>
    <w:rsid w:val="00E65064"/>
    <w:rsid w:val="00EF2B40"/>
    <w:rsid w:val="00FA7B0F"/>
    <w:rsid w:val="00FE34C5"/>
    <w:rsid w:val="00FF3D4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ED15"/>
  <w15:chartTrackingRefBased/>
  <w15:docId w15:val="{EF35035A-C161-4F78-A945-C93E73AC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F9B"/>
  </w:style>
  <w:style w:type="paragraph" w:styleId="Ttulo1">
    <w:name w:val="heading 1"/>
    <w:basedOn w:val="Normal"/>
    <w:next w:val="Normal"/>
    <w:link w:val="Ttulo1Car"/>
    <w:uiPriority w:val="9"/>
    <w:qFormat/>
    <w:rsid w:val="00AD5F9B"/>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Ttulo2">
    <w:name w:val="heading 2"/>
    <w:basedOn w:val="Normal"/>
    <w:next w:val="Normal"/>
    <w:link w:val="Ttulo2Car"/>
    <w:uiPriority w:val="9"/>
    <w:semiHidden/>
    <w:unhideWhenUsed/>
    <w:qFormat/>
    <w:rsid w:val="00AD5F9B"/>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Ttulo3">
    <w:name w:val="heading 3"/>
    <w:basedOn w:val="Normal"/>
    <w:next w:val="Normal"/>
    <w:link w:val="Ttulo3Car"/>
    <w:uiPriority w:val="9"/>
    <w:semiHidden/>
    <w:unhideWhenUsed/>
    <w:qFormat/>
    <w:rsid w:val="00AD5F9B"/>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Ttulo4">
    <w:name w:val="heading 4"/>
    <w:basedOn w:val="Normal"/>
    <w:next w:val="Normal"/>
    <w:link w:val="Ttulo4Car"/>
    <w:uiPriority w:val="9"/>
    <w:semiHidden/>
    <w:unhideWhenUsed/>
    <w:qFormat/>
    <w:rsid w:val="00AD5F9B"/>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Ttulo5">
    <w:name w:val="heading 5"/>
    <w:basedOn w:val="Normal"/>
    <w:next w:val="Normal"/>
    <w:link w:val="Ttulo5Car"/>
    <w:uiPriority w:val="9"/>
    <w:semiHidden/>
    <w:unhideWhenUsed/>
    <w:qFormat/>
    <w:rsid w:val="00AD5F9B"/>
    <w:pPr>
      <w:keepNext/>
      <w:keepLines/>
      <w:spacing w:before="40" w:after="0"/>
      <w:outlineLvl w:val="4"/>
    </w:pPr>
    <w:rPr>
      <w:rFonts w:asciiTheme="majorHAnsi" w:eastAsiaTheme="majorEastAsia" w:hAnsiTheme="majorHAnsi" w:cstheme="majorBidi"/>
      <w:caps/>
      <w:color w:val="1481AB" w:themeColor="accent1" w:themeShade="BF"/>
    </w:rPr>
  </w:style>
  <w:style w:type="paragraph" w:styleId="Ttulo6">
    <w:name w:val="heading 6"/>
    <w:basedOn w:val="Normal"/>
    <w:next w:val="Normal"/>
    <w:link w:val="Ttulo6Car"/>
    <w:uiPriority w:val="9"/>
    <w:semiHidden/>
    <w:unhideWhenUsed/>
    <w:qFormat/>
    <w:rsid w:val="00AD5F9B"/>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Ttulo7">
    <w:name w:val="heading 7"/>
    <w:basedOn w:val="Normal"/>
    <w:next w:val="Normal"/>
    <w:link w:val="Ttulo7Car"/>
    <w:uiPriority w:val="9"/>
    <w:semiHidden/>
    <w:unhideWhenUsed/>
    <w:qFormat/>
    <w:rsid w:val="00AD5F9B"/>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Ttulo8">
    <w:name w:val="heading 8"/>
    <w:basedOn w:val="Normal"/>
    <w:next w:val="Normal"/>
    <w:link w:val="Ttulo8Car"/>
    <w:uiPriority w:val="9"/>
    <w:semiHidden/>
    <w:unhideWhenUsed/>
    <w:qFormat/>
    <w:rsid w:val="00AD5F9B"/>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Ttulo9">
    <w:name w:val="heading 9"/>
    <w:basedOn w:val="Normal"/>
    <w:next w:val="Normal"/>
    <w:link w:val="Ttulo9Car"/>
    <w:uiPriority w:val="9"/>
    <w:semiHidden/>
    <w:unhideWhenUsed/>
    <w:qFormat/>
    <w:rsid w:val="00AD5F9B"/>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5F9B"/>
    <w:rPr>
      <w:color w:val="0563C1"/>
      <w:u w:val="single"/>
    </w:rPr>
  </w:style>
  <w:style w:type="character" w:customStyle="1" w:styleId="Ttulo1Car">
    <w:name w:val="Título 1 Car"/>
    <w:basedOn w:val="Fuentedeprrafopredeter"/>
    <w:link w:val="Ttulo1"/>
    <w:uiPriority w:val="9"/>
    <w:rsid w:val="00AD5F9B"/>
    <w:rPr>
      <w:rFonts w:asciiTheme="majorHAnsi" w:eastAsiaTheme="majorEastAsia" w:hAnsiTheme="majorHAnsi" w:cstheme="majorBidi"/>
      <w:color w:val="0D5672" w:themeColor="accent1" w:themeShade="80"/>
      <w:sz w:val="36"/>
      <w:szCs w:val="36"/>
    </w:rPr>
  </w:style>
  <w:style w:type="character" w:customStyle="1" w:styleId="Ttulo2Car">
    <w:name w:val="Título 2 Car"/>
    <w:basedOn w:val="Fuentedeprrafopredeter"/>
    <w:link w:val="Ttulo2"/>
    <w:uiPriority w:val="9"/>
    <w:semiHidden/>
    <w:rsid w:val="00AD5F9B"/>
    <w:rPr>
      <w:rFonts w:asciiTheme="majorHAnsi" w:eastAsiaTheme="majorEastAsia" w:hAnsiTheme="majorHAnsi" w:cstheme="majorBidi"/>
      <w:color w:val="1481AB" w:themeColor="accent1" w:themeShade="BF"/>
      <w:sz w:val="32"/>
      <w:szCs w:val="32"/>
    </w:rPr>
  </w:style>
  <w:style w:type="character" w:customStyle="1" w:styleId="Ttulo3Car">
    <w:name w:val="Título 3 Car"/>
    <w:basedOn w:val="Fuentedeprrafopredeter"/>
    <w:link w:val="Ttulo3"/>
    <w:uiPriority w:val="9"/>
    <w:semiHidden/>
    <w:rsid w:val="00AD5F9B"/>
    <w:rPr>
      <w:rFonts w:asciiTheme="majorHAnsi" w:eastAsiaTheme="majorEastAsia" w:hAnsiTheme="majorHAnsi" w:cstheme="majorBidi"/>
      <w:color w:val="1481AB" w:themeColor="accent1" w:themeShade="BF"/>
      <w:sz w:val="28"/>
      <w:szCs w:val="28"/>
    </w:rPr>
  </w:style>
  <w:style w:type="character" w:customStyle="1" w:styleId="Ttulo4Car">
    <w:name w:val="Título 4 Car"/>
    <w:basedOn w:val="Fuentedeprrafopredeter"/>
    <w:link w:val="Ttulo4"/>
    <w:uiPriority w:val="9"/>
    <w:semiHidden/>
    <w:rsid w:val="00AD5F9B"/>
    <w:rPr>
      <w:rFonts w:asciiTheme="majorHAnsi" w:eastAsiaTheme="majorEastAsia" w:hAnsiTheme="majorHAnsi" w:cstheme="majorBidi"/>
      <w:color w:val="1481AB" w:themeColor="accent1" w:themeShade="BF"/>
      <w:sz w:val="24"/>
      <w:szCs w:val="24"/>
    </w:rPr>
  </w:style>
  <w:style w:type="character" w:customStyle="1" w:styleId="Ttulo5Car">
    <w:name w:val="Título 5 Car"/>
    <w:basedOn w:val="Fuentedeprrafopredeter"/>
    <w:link w:val="Ttulo5"/>
    <w:uiPriority w:val="9"/>
    <w:semiHidden/>
    <w:rsid w:val="00AD5F9B"/>
    <w:rPr>
      <w:rFonts w:asciiTheme="majorHAnsi" w:eastAsiaTheme="majorEastAsia" w:hAnsiTheme="majorHAnsi" w:cstheme="majorBidi"/>
      <w:caps/>
      <w:color w:val="1481AB" w:themeColor="accent1" w:themeShade="BF"/>
    </w:rPr>
  </w:style>
  <w:style w:type="character" w:customStyle="1" w:styleId="Ttulo6Car">
    <w:name w:val="Título 6 Car"/>
    <w:basedOn w:val="Fuentedeprrafopredeter"/>
    <w:link w:val="Ttulo6"/>
    <w:uiPriority w:val="9"/>
    <w:semiHidden/>
    <w:rsid w:val="00AD5F9B"/>
    <w:rPr>
      <w:rFonts w:asciiTheme="majorHAnsi" w:eastAsiaTheme="majorEastAsia" w:hAnsiTheme="majorHAnsi" w:cstheme="majorBidi"/>
      <w:i/>
      <w:iCs/>
      <w:caps/>
      <w:color w:val="0D5672" w:themeColor="accent1" w:themeShade="80"/>
    </w:rPr>
  </w:style>
  <w:style w:type="character" w:customStyle="1" w:styleId="Ttulo7Car">
    <w:name w:val="Título 7 Car"/>
    <w:basedOn w:val="Fuentedeprrafopredeter"/>
    <w:link w:val="Ttulo7"/>
    <w:uiPriority w:val="9"/>
    <w:semiHidden/>
    <w:rsid w:val="00AD5F9B"/>
    <w:rPr>
      <w:rFonts w:asciiTheme="majorHAnsi" w:eastAsiaTheme="majorEastAsia" w:hAnsiTheme="majorHAnsi" w:cstheme="majorBidi"/>
      <w:b/>
      <w:bCs/>
      <w:color w:val="0D5672" w:themeColor="accent1" w:themeShade="80"/>
    </w:rPr>
  </w:style>
  <w:style w:type="character" w:customStyle="1" w:styleId="Ttulo8Car">
    <w:name w:val="Título 8 Car"/>
    <w:basedOn w:val="Fuentedeprrafopredeter"/>
    <w:link w:val="Ttulo8"/>
    <w:uiPriority w:val="9"/>
    <w:semiHidden/>
    <w:rsid w:val="00AD5F9B"/>
    <w:rPr>
      <w:rFonts w:asciiTheme="majorHAnsi" w:eastAsiaTheme="majorEastAsia" w:hAnsiTheme="majorHAnsi" w:cstheme="majorBidi"/>
      <w:b/>
      <w:bCs/>
      <w:i/>
      <w:iCs/>
      <w:color w:val="0D5672" w:themeColor="accent1" w:themeShade="80"/>
    </w:rPr>
  </w:style>
  <w:style w:type="character" w:customStyle="1" w:styleId="Ttulo9Car">
    <w:name w:val="Título 9 Car"/>
    <w:basedOn w:val="Fuentedeprrafopredeter"/>
    <w:link w:val="Ttulo9"/>
    <w:uiPriority w:val="9"/>
    <w:semiHidden/>
    <w:rsid w:val="00AD5F9B"/>
    <w:rPr>
      <w:rFonts w:asciiTheme="majorHAnsi" w:eastAsiaTheme="majorEastAsia" w:hAnsiTheme="majorHAnsi" w:cstheme="majorBidi"/>
      <w:i/>
      <w:iCs/>
      <w:color w:val="0D5672" w:themeColor="accent1" w:themeShade="80"/>
    </w:rPr>
  </w:style>
  <w:style w:type="paragraph" w:styleId="Descripcin">
    <w:name w:val="caption"/>
    <w:basedOn w:val="Normal"/>
    <w:next w:val="Normal"/>
    <w:uiPriority w:val="35"/>
    <w:semiHidden/>
    <w:unhideWhenUsed/>
    <w:qFormat/>
    <w:rsid w:val="00AD5F9B"/>
    <w:pPr>
      <w:spacing w:line="240" w:lineRule="auto"/>
    </w:pPr>
    <w:rPr>
      <w:b/>
      <w:bCs/>
      <w:smallCaps/>
      <w:color w:val="1485A4" w:themeColor="text2"/>
    </w:rPr>
  </w:style>
  <w:style w:type="paragraph" w:styleId="Ttulo">
    <w:name w:val="Title"/>
    <w:basedOn w:val="Normal"/>
    <w:next w:val="Normal"/>
    <w:link w:val="TtuloCar"/>
    <w:uiPriority w:val="10"/>
    <w:qFormat/>
    <w:rsid w:val="00AD5F9B"/>
    <w:pPr>
      <w:spacing w:after="0" w:line="204" w:lineRule="auto"/>
      <w:contextualSpacing/>
    </w:pPr>
    <w:rPr>
      <w:rFonts w:asciiTheme="majorHAnsi" w:eastAsiaTheme="majorEastAsia" w:hAnsiTheme="majorHAnsi" w:cstheme="majorBidi"/>
      <w:caps/>
      <w:color w:val="1485A4" w:themeColor="text2"/>
      <w:spacing w:val="-15"/>
      <w:sz w:val="72"/>
      <w:szCs w:val="72"/>
    </w:rPr>
  </w:style>
  <w:style w:type="character" w:customStyle="1" w:styleId="TtuloCar">
    <w:name w:val="Título Car"/>
    <w:basedOn w:val="Fuentedeprrafopredeter"/>
    <w:link w:val="Ttulo"/>
    <w:uiPriority w:val="10"/>
    <w:rsid w:val="00AD5F9B"/>
    <w:rPr>
      <w:rFonts w:asciiTheme="majorHAnsi" w:eastAsiaTheme="majorEastAsia" w:hAnsiTheme="majorHAnsi" w:cstheme="majorBidi"/>
      <w:caps/>
      <w:color w:val="1485A4" w:themeColor="text2"/>
      <w:spacing w:val="-15"/>
      <w:sz w:val="72"/>
      <w:szCs w:val="72"/>
    </w:rPr>
  </w:style>
  <w:style w:type="paragraph" w:styleId="Subttulo">
    <w:name w:val="Subtitle"/>
    <w:basedOn w:val="Normal"/>
    <w:next w:val="Normal"/>
    <w:link w:val="SubttuloCar"/>
    <w:uiPriority w:val="11"/>
    <w:qFormat/>
    <w:rsid w:val="00AD5F9B"/>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tuloCar">
    <w:name w:val="Subtítulo Car"/>
    <w:basedOn w:val="Fuentedeprrafopredeter"/>
    <w:link w:val="Subttulo"/>
    <w:uiPriority w:val="11"/>
    <w:rsid w:val="00AD5F9B"/>
    <w:rPr>
      <w:rFonts w:asciiTheme="majorHAnsi" w:eastAsiaTheme="majorEastAsia" w:hAnsiTheme="majorHAnsi" w:cstheme="majorBidi"/>
      <w:color w:val="1CADE4" w:themeColor="accent1"/>
      <w:sz w:val="28"/>
      <w:szCs w:val="28"/>
    </w:rPr>
  </w:style>
  <w:style w:type="character" w:styleId="Textoennegrita">
    <w:name w:val="Strong"/>
    <w:basedOn w:val="Fuentedeprrafopredeter"/>
    <w:uiPriority w:val="22"/>
    <w:qFormat/>
    <w:rsid w:val="00AD5F9B"/>
    <w:rPr>
      <w:b/>
      <w:bCs/>
    </w:rPr>
  </w:style>
  <w:style w:type="character" w:styleId="nfasis">
    <w:name w:val="Emphasis"/>
    <w:basedOn w:val="Fuentedeprrafopredeter"/>
    <w:uiPriority w:val="20"/>
    <w:qFormat/>
    <w:rsid w:val="00AD5F9B"/>
    <w:rPr>
      <w:i/>
      <w:iCs/>
    </w:rPr>
  </w:style>
  <w:style w:type="paragraph" w:styleId="Sinespaciado">
    <w:name w:val="No Spacing"/>
    <w:uiPriority w:val="1"/>
    <w:qFormat/>
    <w:rsid w:val="00AD5F9B"/>
    <w:pPr>
      <w:spacing w:after="0" w:line="240" w:lineRule="auto"/>
    </w:pPr>
  </w:style>
  <w:style w:type="paragraph" w:styleId="Cita">
    <w:name w:val="Quote"/>
    <w:basedOn w:val="Normal"/>
    <w:next w:val="Normal"/>
    <w:link w:val="CitaCar"/>
    <w:uiPriority w:val="29"/>
    <w:qFormat/>
    <w:rsid w:val="00AD5F9B"/>
    <w:pPr>
      <w:spacing w:before="120" w:after="120"/>
      <w:ind w:left="720"/>
    </w:pPr>
    <w:rPr>
      <w:color w:val="1485A4" w:themeColor="text2"/>
      <w:sz w:val="24"/>
      <w:szCs w:val="24"/>
    </w:rPr>
  </w:style>
  <w:style w:type="character" w:customStyle="1" w:styleId="CitaCar">
    <w:name w:val="Cita Car"/>
    <w:basedOn w:val="Fuentedeprrafopredeter"/>
    <w:link w:val="Cita"/>
    <w:uiPriority w:val="29"/>
    <w:rsid w:val="00AD5F9B"/>
    <w:rPr>
      <w:color w:val="1485A4" w:themeColor="text2"/>
      <w:sz w:val="24"/>
      <w:szCs w:val="24"/>
    </w:rPr>
  </w:style>
  <w:style w:type="paragraph" w:styleId="Citadestacada">
    <w:name w:val="Intense Quote"/>
    <w:basedOn w:val="Normal"/>
    <w:next w:val="Normal"/>
    <w:link w:val="CitadestacadaCar"/>
    <w:uiPriority w:val="30"/>
    <w:qFormat/>
    <w:rsid w:val="00AD5F9B"/>
    <w:pPr>
      <w:spacing w:before="100" w:beforeAutospacing="1" w:after="240" w:line="240" w:lineRule="auto"/>
      <w:ind w:left="720"/>
      <w:jc w:val="center"/>
    </w:pPr>
    <w:rPr>
      <w:rFonts w:asciiTheme="majorHAnsi" w:eastAsiaTheme="majorEastAsia" w:hAnsiTheme="majorHAnsi" w:cstheme="majorBidi"/>
      <w:color w:val="1485A4" w:themeColor="text2"/>
      <w:spacing w:val="-6"/>
      <w:sz w:val="32"/>
      <w:szCs w:val="32"/>
    </w:rPr>
  </w:style>
  <w:style w:type="character" w:customStyle="1" w:styleId="CitadestacadaCar">
    <w:name w:val="Cita destacada Car"/>
    <w:basedOn w:val="Fuentedeprrafopredeter"/>
    <w:link w:val="Citadestacada"/>
    <w:uiPriority w:val="30"/>
    <w:rsid w:val="00AD5F9B"/>
    <w:rPr>
      <w:rFonts w:asciiTheme="majorHAnsi" w:eastAsiaTheme="majorEastAsia" w:hAnsiTheme="majorHAnsi" w:cstheme="majorBidi"/>
      <w:color w:val="1485A4" w:themeColor="text2"/>
      <w:spacing w:val="-6"/>
      <w:sz w:val="32"/>
      <w:szCs w:val="32"/>
    </w:rPr>
  </w:style>
  <w:style w:type="character" w:styleId="nfasissutil">
    <w:name w:val="Subtle Emphasis"/>
    <w:basedOn w:val="Fuentedeprrafopredeter"/>
    <w:uiPriority w:val="19"/>
    <w:qFormat/>
    <w:rsid w:val="00AD5F9B"/>
    <w:rPr>
      <w:i/>
      <w:iCs/>
      <w:color w:val="595959" w:themeColor="text1" w:themeTint="A6"/>
    </w:rPr>
  </w:style>
  <w:style w:type="character" w:styleId="nfasisintenso">
    <w:name w:val="Intense Emphasis"/>
    <w:basedOn w:val="Fuentedeprrafopredeter"/>
    <w:uiPriority w:val="21"/>
    <w:qFormat/>
    <w:rsid w:val="00AD5F9B"/>
    <w:rPr>
      <w:b/>
      <w:bCs/>
      <w:i/>
      <w:iCs/>
    </w:rPr>
  </w:style>
  <w:style w:type="character" w:styleId="Referenciasutil">
    <w:name w:val="Subtle Reference"/>
    <w:basedOn w:val="Fuentedeprrafopredeter"/>
    <w:uiPriority w:val="31"/>
    <w:qFormat/>
    <w:rsid w:val="00AD5F9B"/>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AD5F9B"/>
    <w:rPr>
      <w:b/>
      <w:bCs/>
      <w:smallCaps/>
      <w:color w:val="1485A4" w:themeColor="text2"/>
      <w:u w:val="single"/>
    </w:rPr>
  </w:style>
  <w:style w:type="character" w:styleId="Ttulodellibro">
    <w:name w:val="Book Title"/>
    <w:basedOn w:val="Fuentedeprrafopredeter"/>
    <w:uiPriority w:val="33"/>
    <w:qFormat/>
    <w:rsid w:val="00AD5F9B"/>
    <w:rPr>
      <w:b/>
      <w:bCs/>
      <w:smallCaps/>
      <w:spacing w:val="10"/>
    </w:rPr>
  </w:style>
  <w:style w:type="paragraph" w:styleId="TtuloTDC">
    <w:name w:val="TOC Heading"/>
    <w:basedOn w:val="Ttulo1"/>
    <w:next w:val="Normal"/>
    <w:uiPriority w:val="39"/>
    <w:semiHidden/>
    <w:unhideWhenUsed/>
    <w:qFormat/>
    <w:rsid w:val="00AD5F9B"/>
    <w:pPr>
      <w:outlineLvl w:val="9"/>
    </w:pPr>
  </w:style>
  <w:style w:type="paragraph" w:styleId="Prrafodelista">
    <w:name w:val="List Paragraph"/>
    <w:basedOn w:val="Normal"/>
    <w:uiPriority w:val="34"/>
    <w:qFormat/>
    <w:rsid w:val="00FE34C5"/>
    <w:pPr>
      <w:ind w:left="720"/>
      <w:contextualSpacing/>
    </w:pPr>
  </w:style>
  <w:style w:type="table" w:styleId="Tablaconcuadrcula">
    <w:name w:val="Table Grid"/>
    <w:basedOn w:val="Tablanormal"/>
    <w:uiPriority w:val="39"/>
    <w:rsid w:val="0056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0AA0"/>
    <w:pPr>
      <w:autoSpaceDE w:val="0"/>
      <w:autoSpaceDN w:val="0"/>
      <w:adjustRightInd w:val="0"/>
      <w:spacing w:after="0" w:line="240" w:lineRule="auto"/>
    </w:pPr>
    <w:rPr>
      <w:rFonts w:ascii="Calibri" w:hAnsi="Calibri" w:cs="Calibri"/>
      <w:color w:val="000000"/>
      <w:sz w:val="24"/>
      <w:szCs w:val="24"/>
    </w:rPr>
  </w:style>
  <w:style w:type="table" w:styleId="Tabladecuadrcula2-nfasis6">
    <w:name w:val="Grid Table 2 Accent 6"/>
    <w:basedOn w:val="Tablanormal"/>
    <w:uiPriority w:val="47"/>
    <w:rsid w:val="00560AA0"/>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paragraph" w:styleId="Textodeglobo">
    <w:name w:val="Balloon Text"/>
    <w:basedOn w:val="Normal"/>
    <w:link w:val="TextodegloboCar"/>
    <w:uiPriority w:val="99"/>
    <w:semiHidden/>
    <w:unhideWhenUsed/>
    <w:rsid w:val="000C1C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1C97"/>
    <w:rPr>
      <w:rFonts w:ascii="Segoe UI" w:hAnsi="Segoe UI" w:cs="Segoe UI"/>
      <w:sz w:val="18"/>
      <w:szCs w:val="18"/>
    </w:rPr>
  </w:style>
  <w:style w:type="paragraph" w:styleId="Textonotapie">
    <w:name w:val="footnote text"/>
    <w:basedOn w:val="Normal"/>
    <w:link w:val="TextonotapieCar"/>
    <w:uiPriority w:val="99"/>
    <w:semiHidden/>
    <w:unhideWhenUsed/>
    <w:rsid w:val="007B78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7840"/>
    <w:rPr>
      <w:sz w:val="20"/>
      <w:szCs w:val="20"/>
    </w:rPr>
  </w:style>
  <w:style w:type="character" w:styleId="Refdenotaalpie">
    <w:name w:val="footnote reference"/>
    <w:basedOn w:val="Fuentedeprrafopredeter"/>
    <w:uiPriority w:val="99"/>
    <w:semiHidden/>
    <w:unhideWhenUsed/>
    <w:rsid w:val="007B78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1512">
      <w:bodyDiv w:val="1"/>
      <w:marLeft w:val="0"/>
      <w:marRight w:val="0"/>
      <w:marTop w:val="0"/>
      <w:marBottom w:val="0"/>
      <w:divBdr>
        <w:top w:val="none" w:sz="0" w:space="0" w:color="auto"/>
        <w:left w:val="none" w:sz="0" w:space="0" w:color="auto"/>
        <w:bottom w:val="none" w:sz="0" w:space="0" w:color="auto"/>
        <w:right w:val="none" w:sz="0" w:space="0" w:color="auto"/>
      </w:divBdr>
    </w:div>
    <w:div w:id="318769564">
      <w:bodyDiv w:val="1"/>
      <w:marLeft w:val="0"/>
      <w:marRight w:val="0"/>
      <w:marTop w:val="0"/>
      <w:marBottom w:val="0"/>
      <w:divBdr>
        <w:top w:val="none" w:sz="0" w:space="0" w:color="auto"/>
        <w:left w:val="none" w:sz="0" w:space="0" w:color="auto"/>
        <w:bottom w:val="none" w:sz="0" w:space="0" w:color="auto"/>
        <w:right w:val="none" w:sz="0" w:space="0" w:color="auto"/>
      </w:divBdr>
    </w:div>
    <w:div w:id="1827286418">
      <w:bodyDiv w:val="1"/>
      <w:marLeft w:val="0"/>
      <w:marRight w:val="0"/>
      <w:marTop w:val="0"/>
      <w:marBottom w:val="0"/>
      <w:divBdr>
        <w:top w:val="none" w:sz="0" w:space="0" w:color="auto"/>
        <w:left w:val="none" w:sz="0" w:space="0" w:color="auto"/>
        <w:bottom w:val="none" w:sz="0" w:space="0" w:color="auto"/>
        <w:right w:val="none" w:sz="0" w:space="0" w:color="auto"/>
      </w:divBdr>
    </w:div>
    <w:div w:id="18343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i.org.uy/upcms/files/llamados/documentos/1473273108_bases-fse-1-2016-modalidad-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ii.org.uy/upcms/files/llamados/documentos/1473273108_bases-fse-1-2016-modalidad-i.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80F7-E6C8-480D-A7D6-B91EF60A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7</Pages>
  <Words>1875</Words>
  <Characters>10313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 Mainieri</dc:creator>
  <cp:keywords/>
  <dc:description/>
  <cp:lastModifiedBy>Ilka Kruger</cp:lastModifiedBy>
  <cp:revision>18</cp:revision>
  <cp:lastPrinted>2017-01-16T22:25:00Z</cp:lastPrinted>
  <dcterms:created xsi:type="dcterms:W3CDTF">2017-01-12T18:35:00Z</dcterms:created>
  <dcterms:modified xsi:type="dcterms:W3CDTF">2017-04-13T16:37:00Z</dcterms:modified>
</cp:coreProperties>
</file>