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9"/>
      </w:tblGrid>
      <w:tr w:rsidR="006B097E" w:rsidRPr="000C39A8" w:rsidTr="00B752BC">
        <w:trPr>
          <w:trHeight w:val="722"/>
          <w:jc w:val="center"/>
        </w:trPr>
        <w:tc>
          <w:tcPr>
            <w:tcW w:w="11099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365F91" w:themeFill="accent1" w:themeFillShade="BF"/>
            <w:vAlign w:val="center"/>
          </w:tcPr>
          <w:p w:rsidR="001D4003" w:rsidRPr="000C39A8" w:rsidRDefault="001D4003" w:rsidP="00655F39">
            <w:pPr>
              <w:spacing w:before="120"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  <w:lang w:val="es-PA"/>
              </w:rPr>
            </w:pP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  <w:lang w:val="es-PA"/>
              </w:rPr>
              <w:t>ANUNCIO DE CONVOCATORIA PÚBLICA</w:t>
            </w:r>
          </w:p>
          <w:p w:rsidR="00C34350" w:rsidRPr="000C39A8" w:rsidRDefault="00655F39" w:rsidP="00425391">
            <w:pPr>
              <w:spacing w:before="120"/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</w:pPr>
            <w:r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PROGRAMA DE </w:t>
            </w:r>
            <w:r w:rsidR="00185E1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MAESTRÍA </w:t>
            </w:r>
            <w:r w:rsidR="0042539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DUAL </w:t>
            </w:r>
            <w:r w:rsidR="00185E1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EN </w:t>
            </w:r>
            <w:r w:rsidR="0042539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ADMINISTRACIÓN</w:t>
            </w:r>
            <w:r w:rsidR="00185E1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DE NEGOCIOS (</w:t>
            </w:r>
            <w:r w:rsidR="00D43C08"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MASTER IN BUSI</w:t>
            </w:r>
            <w:r w:rsidR="00A87EE1"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NESS </w:t>
            </w:r>
            <w:r w:rsidR="0042539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ADMINISTRATION</w:t>
            </w:r>
            <w:r w:rsidR="00185E1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)</w:t>
            </w:r>
            <w:r w:rsidR="002175DF"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 </w:t>
            </w:r>
          </w:p>
          <w:p w:rsidR="002175DF" w:rsidRPr="00641E4B" w:rsidRDefault="00641E4B" w:rsidP="000641A9">
            <w:pPr>
              <w:spacing w:before="120"/>
              <w:jc w:val="center"/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CONVENIOS DE COOPERACIÓN SUSCRITOS ENTRE SENACYT, </w:t>
            </w:r>
            <w:r w:rsidR="002175DF" w:rsidRPr="00641E4B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 xml:space="preserve">UNIVERSIDAD DE PANAMÁ Y </w:t>
            </w:r>
            <w:r w:rsidR="00425391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  <w:lang w:val="es-PA"/>
              </w:rPr>
              <w:t>SAM M. WALTON COLLEGE OF BUSINESS DE LA UNIVERSITY OF ARKANSAS, FAYETVILLE</w:t>
            </w:r>
          </w:p>
          <w:p w:rsidR="000641A9" w:rsidRPr="009909C1" w:rsidRDefault="000137DF" w:rsidP="000137DF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</w:pPr>
            <w:r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Programa aprobado en</w:t>
            </w:r>
            <w:r w:rsidR="00641E4B"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</w:t>
            </w:r>
            <w:r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Reunión CF-TCNA N° 2-12 </w:t>
            </w:r>
            <w:r w:rsidR="00641E4B"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del Consejo </w:t>
            </w:r>
            <w:r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de Facultades de Tecnología, Ciencias Naturales Exactas y Ciencias Administrativas </w:t>
            </w:r>
            <w:r w:rsidR="00641E4B"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de la Universidad de Panamá </w:t>
            </w:r>
          </w:p>
          <w:p w:rsidR="00166FF4" w:rsidRPr="0094559E" w:rsidRDefault="00166FF4" w:rsidP="00DE7DA2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</w:pPr>
            <w:r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Programa aprobado por Resolución N° </w:t>
            </w:r>
            <w:r w:rsidR="00DE7DA2"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100</w:t>
            </w:r>
            <w:r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de Junta Directiva de SENACYT del </w:t>
            </w:r>
            <w:r w:rsidR="00DE7DA2"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12</w:t>
            </w:r>
            <w:r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de marzo de 201</w:t>
            </w:r>
            <w:r w:rsidR="00DE7DA2" w:rsidRPr="009909C1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4</w:t>
            </w:r>
          </w:p>
        </w:tc>
      </w:tr>
      <w:tr w:rsidR="006B097E" w:rsidRPr="000C39A8" w:rsidTr="00B752BC">
        <w:trPr>
          <w:trHeight w:val="372"/>
          <w:jc w:val="center"/>
        </w:trPr>
        <w:tc>
          <w:tcPr>
            <w:tcW w:w="110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AC6" w:rsidRPr="000C39A8" w:rsidRDefault="006B097E" w:rsidP="000534F5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DIRIGIDA A:</w:t>
            </w:r>
            <w:bookmarkStart w:id="0" w:name="OLE_LINK1"/>
            <w:r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bookmarkEnd w:id="0"/>
            <w:r w:rsidR="000534F5">
              <w:rPr>
                <w:rFonts w:ascii="Calibri" w:hAnsi="Calibri" w:cs="Arial"/>
                <w:sz w:val="18"/>
                <w:szCs w:val="18"/>
              </w:rPr>
              <w:t>P</w:t>
            </w:r>
            <w:r w:rsidR="00951EC5" w:rsidRPr="000C39A8">
              <w:rPr>
                <w:rFonts w:ascii="Calibri" w:hAnsi="Calibri" w:cs="Arial"/>
                <w:sz w:val="18"/>
                <w:szCs w:val="18"/>
              </w:rPr>
              <w:t>rofesionales</w:t>
            </w:r>
            <w:r w:rsidR="000534F5">
              <w:rPr>
                <w:rFonts w:ascii="Calibri" w:hAnsi="Calibri" w:cs="Arial"/>
                <w:sz w:val="18"/>
                <w:szCs w:val="18"/>
              </w:rPr>
              <w:t>, nacionales o extranjeros,</w:t>
            </w:r>
            <w:r w:rsidR="00951EC5" w:rsidRPr="000C39A8">
              <w:rPr>
                <w:rFonts w:ascii="Calibri" w:hAnsi="Calibri" w:cs="Arial"/>
                <w:sz w:val="18"/>
                <w:szCs w:val="18"/>
              </w:rPr>
              <w:t xml:space="preserve"> con </w:t>
            </w:r>
            <w:r w:rsidR="002175DF" w:rsidRPr="000C39A8">
              <w:rPr>
                <w:rFonts w:ascii="Calibri" w:hAnsi="Calibri" w:cs="Arial"/>
                <w:sz w:val="18"/>
                <w:szCs w:val="18"/>
              </w:rPr>
              <w:t>título de licenciatura o</w:t>
            </w:r>
            <w:r w:rsidR="000C39A8">
              <w:rPr>
                <w:rFonts w:ascii="Calibri" w:hAnsi="Calibri" w:cs="Arial"/>
                <w:sz w:val="18"/>
                <w:szCs w:val="18"/>
              </w:rPr>
              <w:t xml:space="preserve"> equivalente, reconocido por </w:t>
            </w:r>
            <w:r w:rsidR="002175DF" w:rsidRPr="000C39A8">
              <w:rPr>
                <w:rFonts w:ascii="Calibri" w:hAnsi="Calibri" w:cs="Arial"/>
                <w:sz w:val="18"/>
                <w:szCs w:val="18"/>
              </w:rPr>
              <w:t>universidades oficiales de la República de Panamá</w:t>
            </w:r>
            <w:r w:rsidR="00641E4B">
              <w:rPr>
                <w:rFonts w:ascii="Calibri" w:hAnsi="Calibri" w:cs="Arial"/>
                <w:sz w:val="18"/>
                <w:szCs w:val="18"/>
              </w:rPr>
              <w:t>.</w:t>
            </w:r>
            <w:r w:rsidR="00DF2059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6B097E" w:rsidRPr="000C39A8" w:rsidTr="00B752BC">
        <w:trPr>
          <w:trHeight w:val="582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ADF" w:rsidRPr="000C39A8" w:rsidRDefault="006B097E" w:rsidP="0035077B">
            <w:pPr>
              <w:spacing w:before="1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OBJETIVO:</w:t>
            </w:r>
            <w:r w:rsidR="009A3156"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>P</w:t>
            </w:r>
            <w:r w:rsidR="00B64ED3" w:rsidRPr="000C39A8">
              <w:rPr>
                <w:rFonts w:ascii="Calibri" w:hAnsi="Calibri" w:cs="Arial"/>
                <w:sz w:val="18"/>
                <w:szCs w:val="18"/>
              </w:rPr>
              <w:t xml:space="preserve">romover la innovación en los negocios a través de 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>la transferencia de conocimientos de una de las universidades de negocios más prestigiosas de Estados Unidos</w:t>
            </w:r>
            <w:r w:rsidR="00641E4B">
              <w:rPr>
                <w:rFonts w:ascii="Calibri" w:hAnsi="Calibri" w:cs="Arial"/>
                <w:sz w:val="18"/>
                <w:szCs w:val="18"/>
              </w:rPr>
              <w:t xml:space="preserve"> (</w:t>
            </w:r>
            <w:r w:rsidR="00425391">
              <w:rPr>
                <w:rFonts w:ascii="Calibri" w:hAnsi="Calibri" w:cs="Arial"/>
                <w:sz w:val="18"/>
                <w:szCs w:val="18"/>
              </w:rPr>
              <w:t>Sa</w:t>
            </w:r>
            <w:r w:rsidR="00B55761">
              <w:rPr>
                <w:rFonts w:ascii="Calibri" w:hAnsi="Calibri" w:cs="Arial"/>
                <w:sz w:val="18"/>
                <w:szCs w:val="18"/>
              </w:rPr>
              <w:t xml:space="preserve">m M. </w:t>
            </w:r>
            <w:proofErr w:type="spellStart"/>
            <w:r w:rsidR="00B55761">
              <w:rPr>
                <w:rFonts w:ascii="Calibri" w:hAnsi="Calibri" w:cs="Arial"/>
                <w:sz w:val="18"/>
                <w:szCs w:val="18"/>
              </w:rPr>
              <w:t>Walton</w:t>
            </w:r>
            <w:proofErr w:type="spellEnd"/>
            <w:r w:rsidR="00B55761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="00B55761">
              <w:rPr>
                <w:rFonts w:ascii="Calibri" w:hAnsi="Calibri" w:cs="Arial"/>
                <w:sz w:val="18"/>
                <w:szCs w:val="18"/>
              </w:rPr>
              <w:t>College</w:t>
            </w:r>
            <w:proofErr w:type="spellEnd"/>
            <w:r w:rsidR="00B55761">
              <w:rPr>
                <w:rFonts w:ascii="Calibri" w:hAnsi="Calibri" w:cs="Arial"/>
                <w:sz w:val="18"/>
                <w:szCs w:val="18"/>
              </w:rPr>
              <w:t xml:space="preserve"> of Business de la </w:t>
            </w:r>
            <w:proofErr w:type="spellStart"/>
            <w:r w:rsidR="00641E4B">
              <w:rPr>
                <w:rFonts w:ascii="Calibri" w:hAnsi="Calibri" w:cs="Arial"/>
                <w:sz w:val="18"/>
                <w:szCs w:val="18"/>
              </w:rPr>
              <w:t>University</w:t>
            </w:r>
            <w:proofErr w:type="spellEnd"/>
            <w:r w:rsidR="00641E4B">
              <w:rPr>
                <w:rFonts w:ascii="Calibri" w:hAnsi="Calibri" w:cs="Arial"/>
                <w:sz w:val="18"/>
                <w:szCs w:val="18"/>
              </w:rPr>
              <w:t xml:space="preserve"> of </w:t>
            </w:r>
            <w:r w:rsidR="00425391">
              <w:rPr>
                <w:rFonts w:ascii="Calibri" w:hAnsi="Calibri" w:cs="Arial"/>
                <w:sz w:val="18"/>
                <w:szCs w:val="18"/>
              </w:rPr>
              <w:t>Arkansas</w:t>
            </w:r>
            <w:r w:rsidR="00641E4B">
              <w:rPr>
                <w:rFonts w:ascii="Calibri" w:hAnsi="Calibri" w:cs="Arial"/>
                <w:sz w:val="18"/>
                <w:szCs w:val="18"/>
              </w:rPr>
              <w:t>)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B64ED3" w:rsidRPr="000C39A8">
              <w:rPr>
                <w:rFonts w:ascii="Calibri" w:hAnsi="Calibri" w:cs="Arial"/>
                <w:sz w:val="18"/>
                <w:szCs w:val="18"/>
              </w:rPr>
              <w:t xml:space="preserve">que 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 xml:space="preserve">en conjunto con la Universidad de Panamá,  </w:t>
            </w:r>
            <w:r w:rsidR="003C03E3" w:rsidRPr="000C39A8">
              <w:rPr>
                <w:rFonts w:ascii="Calibri" w:hAnsi="Calibri" w:cs="Arial"/>
                <w:sz w:val="18"/>
                <w:szCs w:val="18"/>
              </w:rPr>
              <w:t>formará</w:t>
            </w:r>
            <w:r w:rsidR="00B64ED3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>a profesionales para que tengan la oportunidad de optar por un título de enseñanza superior</w:t>
            </w:r>
            <w:r w:rsidR="00B64ED3" w:rsidRPr="000C39A8">
              <w:rPr>
                <w:rFonts w:ascii="Calibri" w:hAnsi="Calibri" w:cs="Arial"/>
                <w:sz w:val="18"/>
                <w:szCs w:val="18"/>
              </w:rPr>
              <w:t xml:space="preserve"> de alto nivel.</w:t>
            </w:r>
          </w:p>
        </w:tc>
      </w:tr>
      <w:tr w:rsidR="00795664" w:rsidRPr="000C39A8" w:rsidTr="00E10108">
        <w:trPr>
          <w:trHeight w:val="751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91013" w:rsidRPr="000C39A8" w:rsidRDefault="00FD6B6A" w:rsidP="00EF7D6D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DURACIÓN:</w:t>
            </w:r>
            <w:r w:rsidR="00F91013"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FB678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:rsidR="0077386F" w:rsidRPr="000C39A8" w:rsidRDefault="004529E6" w:rsidP="00425391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sz w:val="18"/>
                <w:szCs w:val="18"/>
              </w:rPr>
              <w:t xml:space="preserve">El programa </w:t>
            </w:r>
            <w:r w:rsidR="00C171B0" w:rsidRPr="000C39A8">
              <w:rPr>
                <w:rFonts w:ascii="Calibri" w:hAnsi="Calibri" w:cs="Arial"/>
                <w:sz w:val="18"/>
                <w:szCs w:val="18"/>
              </w:rPr>
              <w:t xml:space="preserve">incluye </w:t>
            </w:r>
            <w:r w:rsidR="00425391">
              <w:rPr>
                <w:rFonts w:ascii="Calibri" w:hAnsi="Calibri" w:cs="Arial"/>
                <w:sz w:val="18"/>
                <w:szCs w:val="18"/>
              </w:rPr>
              <w:t>trece</w:t>
            </w:r>
            <w:r w:rsidR="00C171B0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425391">
              <w:rPr>
                <w:rFonts w:ascii="Calibri" w:hAnsi="Calibri" w:cs="Arial"/>
                <w:sz w:val="18"/>
                <w:szCs w:val="18"/>
              </w:rPr>
              <w:t>(13</w:t>
            </w:r>
            <w:r w:rsidR="00F91013" w:rsidRPr="000C39A8">
              <w:rPr>
                <w:rFonts w:ascii="Calibri" w:hAnsi="Calibri" w:cs="Arial"/>
                <w:sz w:val="18"/>
                <w:szCs w:val="18"/>
              </w:rPr>
              <w:t xml:space="preserve">) </w:t>
            </w:r>
            <w:r w:rsidRPr="000C39A8">
              <w:rPr>
                <w:rFonts w:ascii="Calibri" w:hAnsi="Calibri" w:cs="Arial"/>
                <w:sz w:val="18"/>
                <w:szCs w:val="18"/>
              </w:rPr>
              <w:t>módulos</w:t>
            </w:r>
            <w:r w:rsidR="00F91013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EF7D6D" w:rsidRPr="000C39A8">
              <w:rPr>
                <w:rFonts w:ascii="Calibri" w:hAnsi="Calibri" w:cs="Arial"/>
                <w:sz w:val="18"/>
                <w:szCs w:val="18"/>
              </w:rPr>
              <w:t xml:space="preserve">con duración </w:t>
            </w:r>
            <w:r w:rsidRPr="000C39A8">
              <w:rPr>
                <w:rFonts w:ascii="Calibri" w:hAnsi="Calibri" w:cs="Arial"/>
                <w:sz w:val="18"/>
                <w:szCs w:val="18"/>
              </w:rPr>
              <w:t xml:space="preserve">de </w:t>
            </w:r>
            <w:r w:rsidR="00425391">
              <w:rPr>
                <w:rFonts w:ascii="Calibri" w:hAnsi="Calibri" w:cs="Arial"/>
                <w:sz w:val="18"/>
                <w:szCs w:val="18"/>
              </w:rPr>
              <w:t>4</w:t>
            </w:r>
            <w:r w:rsidR="00EF7D6D" w:rsidRPr="000C39A8">
              <w:rPr>
                <w:rFonts w:ascii="Calibri" w:hAnsi="Calibri" w:cs="Arial"/>
                <w:sz w:val="18"/>
                <w:szCs w:val="18"/>
              </w:rPr>
              <w:t xml:space="preserve"> días</w:t>
            </w:r>
            <w:r w:rsidR="00FB6780">
              <w:rPr>
                <w:rFonts w:ascii="Calibri" w:hAnsi="Calibri" w:cs="Arial"/>
                <w:sz w:val="18"/>
                <w:szCs w:val="18"/>
              </w:rPr>
              <w:t xml:space="preserve"> cada uno</w:t>
            </w:r>
            <w:r w:rsidR="003B4DD8">
              <w:rPr>
                <w:rFonts w:ascii="Calibri" w:hAnsi="Calibri" w:cs="Arial"/>
                <w:sz w:val="18"/>
                <w:szCs w:val="18"/>
              </w:rPr>
              <w:t xml:space="preserve"> dictados en la Ciudad de </w:t>
            </w:r>
            <w:r w:rsidR="00425391">
              <w:rPr>
                <w:rFonts w:ascii="Calibri" w:hAnsi="Calibri" w:cs="Arial"/>
                <w:sz w:val="18"/>
                <w:szCs w:val="18"/>
              </w:rPr>
              <w:t>Panamá</w:t>
            </w:r>
            <w:r w:rsidR="00EF7D6D" w:rsidRPr="000C39A8">
              <w:rPr>
                <w:rFonts w:ascii="Calibri" w:hAnsi="Calibri" w:cs="Arial"/>
                <w:sz w:val="18"/>
                <w:szCs w:val="18"/>
              </w:rPr>
              <w:t>.</w:t>
            </w:r>
            <w:r w:rsidR="00AD178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24F7A">
              <w:rPr>
                <w:rFonts w:ascii="Calibri" w:hAnsi="Calibri" w:cs="Arial"/>
                <w:sz w:val="18"/>
                <w:szCs w:val="18"/>
              </w:rPr>
              <w:t xml:space="preserve"> Para un periodo aproximado de 13 meses (a razón de un módulo por mes).</w:t>
            </w:r>
          </w:p>
        </w:tc>
      </w:tr>
      <w:tr w:rsidR="00D43C08" w:rsidRPr="000C39A8" w:rsidTr="00C171B0">
        <w:trPr>
          <w:trHeight w:val="568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B6780" w:rsidRDefault="00D43C08" w:rsidP="0076729B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TÍTULO OBTENIDO: </w:t>
            </w:r>
          </w:p>
          <w:p w:rsidR="00C728C9" w:rsidRPr="0094559E" w:rsidRDefault="00425391" w:rsidP="00931AE6">
            <w:pPr>
              <w:jc w:val="both"/>
              <w:rPr>
                <w:rFonts w:asciiTheme="minorHAnsi" w:hAnsiTheme="minorHAnsi" w:cstheme="minorHAnsi"/>
                <w:spacing w:val="-3"/>
                <w:sz w:val="18"/>
                <w:szCs w:val="18"/>
                <w:lang w:val="es-PA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Título</w:t>
            </w:r>
            <w:r w:rsidR="00185E11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 Maestría en </w:t>
            </w:r>
            <w:r w:rsidR="00E36F60">
              <w:rPr>
                <w:rFonts w:asciiTheme="minorHAnsi" w:hAnsiTheme="minorHAnsi" w:cstheme="minorHAnsi"/>
                <w:sz w:val="18"/>
                <w:szCs w:val="18"/>
              </w:rPr>
              <w:t>Administración</w:t>
            </w:r>
            <w:r w:rsidR="00185E11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 de Negocios (</w:t>
            </w:r>
            <w:r w:rsidR="00C728C9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Master in Business </w:t>
            </w:r>
            <w:proofErr w:type="spellStart"/>
            <w:r w:rsidR="00E36F60">
              <w:rPr>
                <w:rFonts w:asciiTheme="minorHAnsi" w:hAnsiTheme="minorHAnsi" w:cstheme="minorHAnsi"/>
                <w:sz w:val="18"/>
                <w:szCs w:val="18"/>
              </w:rPr>
              <w:t>Administration</w:t>
            </w:r>
            <w:proofErr w:type="spellEnd"/>
            <w:r w:rsidR="00185E11" w:rsidRPr="0094559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C728C9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 otorgado por la </w:t>
            </w:r>
            <w:r w:rsidR="00E36F60">
              <w:rPr>
                <w:rFonts w:asciiTheme="minorHAnsi" w:hAnsiTheme="minorHAnsi" w:cstheme="minorHAnsi"/>
                <w:sz w:val="18"/>
                <w:szCs w:val="18"/>
              </w:rPr>
              <w:t xml:space="preserve">Sam M. </w:t>
            </w:r>
            <w:proofErr w:type="spellStart"/>
            <w:r w:rsidR="00E36F60">
              <w:rPr>
                <w:rFonts w:asciiTheme="minorHAnsi" w:hAnsiTheme="minorHAnsi" w:cstheme="minorHAnsi"/>
                <w:sz w:val="18"/>
                <w:szCs w:val="18"/>
              </w:rPr>
              <w:t>Walton</w:t>
            </w:r>
            <w:proofErr w:type="spellEnd"/>
            <w:r w:rsidR="00E36F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E36F60">
              <w:rPr>
                <w:rFonts w:asciiTheme="minorHAnsi" w:hAnsiTheme="minorHAnsi" w:cstheme="minorHAnsi"/>
                <w:sz w:val="18"/>
                <w:szCs w:val="18"/>
              </w:rPr>
              <w:t>College</w:t>
            </w:r>
            <w:proofErr w:type="spellEnd"/>
            <w:r w:rsidR="00E36F60">
              <w:rPr>
                <w:rFonts w:asciiTheme="minorHAnsi" w:hAnsiTheme="minorHAnsi" w:cstheme="minorHAnsi"/>
                <w:sz w:val="18"/>
                <w:szCs w:val="18"/>
              </w:rPr>
              <w:t xml:space="preserve"> of Business, </w:t>
            </w:r>
            <w:r w:rsidR="00C728C9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Universidad de </w:t>
            </w:r>
            <w:r w:rsidR="00E36F60">
              <w:rPr>
                <w:rFonts w:asciiTheme="minorHAnsi" w:hAnsiTheme="minorHAnsi" w:cstheme="minorHAnsi"/>
                <w:sz w:val="18"/>
                <w:szCs w:val="18"/>
              </w:rPr>
              <w:t>Arkansas</w:t>
            </w:r>
            <w:r w:rsidR="00931AE6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. Diploma con el Título de Master in Business </w:t>
            </w:r>
            <w:proofErr w:type="spellStart"/>
            <w:r w:rsidR="00E36F60">
              <w:rPr>
                <w:rFonts w:asciiTheme="minorHAnsi" w:hAnsiTheme="minorHAnsi" w:cstheme="minorHAnsi"/>
                <w:sz w:val="18"/>
                <w:szCs w:val="18"/>
              </w:rPr>
              <w:t>Administration</w:t>
            </w:r>
            <w:proofErr w:type="spellEnd"/>
            <w:r w:rsidR="00931AE6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 (Maestría en </w:t>
            </w:r>
            <w:r w:rsidR="00E36F60">
              <w:rPr>
                <w:rFonts w:asciiTheme="minorHAnsi" w:hAnsiTheme="minorHAnsi" w:cstheme="minorHAnsi"/>
                <w:sz w:val="18"/>
                <w:szCs w:val="18"/>
              </w:rPr>
              <w:t>Administración</w:t>
            </w:r>
            <w:r w:rsidR="00931AE6" w:rsidRPr="0094559E">
              <w:rPr>
                <w:rFonts w:asciiTheme="minorHAnsi" w:hAnsiTheme="minorHAnsi" w:cstheme="minorHAnsi"/>
                <w:sz w:val="18"/>
                <w:szCs w:val="18"/>
              </w:rPr>
              <w:t xml:space="preserve"> de Negocios) otorgado por la Universidad de Panamá. </w:t>
            </w:r>
          </w:p>
          <w:p w:rsidR="00C728C9" w:rsidRPr="00931AE6" w:rsidRDefault="00C728C9" w:rsidP="00931AE6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457BBE" w:rsidRPr="000C39A8" w:rsidTr="008800D8">
        <w:trPr>
          <w:trHeight w:val="771"/>
          <w:jc w:val="center"/>
        </w:trPr>
        <w:tc>
          <w:tcPr>
            <w:tcW w:w="1109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31AE6" w:rsidRDefault="00C728C9">
            <w:pPr>
              <w:spacing w:line="276" w:lineRule="auto"/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  <w:r w:rsidRPr="00C728C9">
              <w:rPr>
                <w:rFonts w:ascii="Calibri" w:hAnsi="Calibri" w:cs="Arial"/>
                <w:b/>
                <w:sz w:val="18"/>
                <w:szCs w:val="18"/>
              </w:rPr>
              <w:t>MONTO</w:t>
            </w:r>
            <w:r w:rsidR="000534F5">
              <w:rPr>
                <w:rFonts w:ascii="Calibri" w:hAnsi="Calibri" w:cs="Arial"/>
                <w:b/>
                <w:sz w:val="18"/>
                <w:szCs w:val="18"/>
              </w:rPr>
              <w:t xml:space="preserve"> DEL PROGRAMA</w:t>
            </w:r>
            <w:r w:rsidRPr="00C728C9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</w:p>
          <w:p w:rsidR="00770556" w:rsidRDefault="00C728C9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El </w:t>
            </w:r>
            <w:r w:rsidR="0077386F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>valor</w:t>
            </w:r>
            <w:r w:rsidR="00FB6780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total del Programa es de Treinta y </w:t>
            </w:r>
            <w:r w:rsidR="00FB2154">
              <w:rPr>
                <w:rFonts w:asciiTheme="minorHAnsi" w:hAnsiTheme="minorHAnsi" w:cstheme="minorHAnsi"/>
                <w:b/>
                <w:sz w:val="18"/>
                <w:szCs w:val="18"/>
              </w:rPr>
              <w:t>Seis</w:t>
            </w:r>
            <w:r w:rsidR="001F0D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Mil</w:t>
            </w:r>
            <w:r w:rsidR="00FB215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Quinientos</w:t>
            </w:r>
            <w:r w:rsidR="001F0DF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Balboas (B/. 36,5</w:t>
            </w:r>
            <w:r w:rsidR="0077386F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00.00). Incluye: </w:t>
            </w:r>
            <w:r w:rsidRPr="009455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inscripción; matrícula; proyecto de intervención,  costos de créditos y titulación</w:t>
            </w:r>
            <w:r w:rsidR="00BF1FD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(Universidad de Arkansas y Universidad de Panamá)</w:t>
            </w:r>
            <w:r w:rsidRPr="009455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, </w:t>
            </w:r>
            <w:r w:rsidR="0077386F" w:rsidRPr="009455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almuerzo </w:t>
            </w:r>
            <w:r w:rsidR="00FD54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</w:t>
            </w:r>
            <w:r w:rsidRPr="009455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cuatro (4) días e</w:t>
            </w:r>
            <w:r w:rsidR="00FD543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</w:t>
            </w:r>
            <w:r w:rsidRPr="0094559E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cad</w:t>
            </w:r>
            <w:r w:rsidR="0061095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uno de los módulos en Panamá.</w:t>
            </w:r>
          </w:p>
          <w:p w:rsidR="00CD624D" w:rsidRDefault="00CD624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042F36" w:rsidRPr="00282BAC" w:rsidRDefault="00CD624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82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Aquel Participante que no aplique</w:t>
            </w:r>
            <w:r w:rsidR="00042F36" w:rsidRPr="00282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para subsidio económico </w:t>
            </w:r>
            <w:r w:rsidRPr="00282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deberá cubrir el valor total de programa</w:t>
            </w:r>
            <w:r w:rsidR="00DE7DA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,</w:t>
            </w:r>
            <w:r w:rsidRPr="00282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ya sea en un pago único de </w:t>
            </w:r>
            <w:r w:rsidRPr="00282BA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Treinta y Seis Mil Quinientos Balboas (B/. 36,500.00) </w:t>
            </w:r>
            <w:r w:rsidRPr="00282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282BA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en un periodo no mayor de  quince (15) días después de la firma del contrato para estudios o </w:t>
            </w:r>
            <w:r w:rsidRPr="00282BA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tal como lo indica el siguiente cuadro:</w:t>
            </w:r>
          </w:p>
          <w:p w:rsidR="00042F36" w:rsidRPr="00282BAC" w:rsidRDefault="00042F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042F36" w:rsidRPr="00282BAC" w:rsidTr="00085385">
              <w:tc>
                <w:tcPr>
                  <w:tcW w:w="2992" w:type="dxa"/>
                </w:tcPr>
                <w:p w:rsidR="00042F36" w:rsidRPr="00282BAC" w:rsidRDefault="00042F36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PRIMER PAGO</w:t>
                  </w:r>
                </w:p>
              </w:tc>
              <w:tc>
                <w:tcPr>
                  <w:tcW w:w="2993" w:type="dxa"/>
                </w:tcPr>
                <w:p w:rsidR="00042F36" w:rsidRPr="00282BAC" w:rsidRDefault="0075740C" w:rsidP="004C3BD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B/. </w:t>
                  </w:r>
                  <w:r w:rsidR="004C3BD0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4,000.00</w:t>
                  </w:r>
                </w:p>
              </w:tc>
              <w:tc>
                <w:tcPr>
                  <w:tcW w:w="2993" w:type="dxa"/>
                </w:tcPr>
                <w:p w:rsidR="00042F36" w:rsidRPr="009909C1" w:rsidRDefault="00042F36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En un periodo no mayor de  quince (15) días d</w:t>
                  </w:r>
                  <w:r w:rsidR="00CD624D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espués de la firma del 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contrato</w:t>
                  </w:r>
                  <w:r w:rsidR="00CD624D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para estudios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.</w:t>
                  </w:r>
                </w:p>
              </w:tc>
            </w:tr>
            <w:tr w:rsidR="004C3BD0" w:rsidRPr="00282BAC" w:rsidTr="00085385"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SEGUNDO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4C3BD0" w:rsidP="00CA53BE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octubre 2014</w:t>
                  </w:r>
                </w:p>
              </w:tc>
            </w:tr>
            <w:tr w:rsidR="004C3BD0" w:rsidRPr="00282BAC" w:rsidTr="00085385"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TERCER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4C3BD0" w:rsidP="00A274EC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20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de 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noviembre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2014</w:t>
                  </w:r>
                </w:p>
              </w:tc>
              <w:bookmarkStart w:id="1" w:name="_GoBack"/>
              <w:bookmarkEnd w:id="1"/>
            </w:tr>
            <w:tr w:rsidR="004C3BD0" w:rsidRPr="00282BAC" w:rsidTr="00085385"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CUARTO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4C3BD0" w:rsidP="00A274EC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19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de 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diciembre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2014</w:t>
                  </w:r>
                </w:p>
              </w:tc>
            </w:tr>
            <w:tr w:rsidR="004C3BD0" w:rsidRPr="00282BAC" w:rsidTr="00085385"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QUINTO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4C3BD0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20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de 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enero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201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5</w:t>
                  </w:r>
                </w:p>
              </w:tc>
            </w:tr>
            <w:tr w:rsidR="004C3BD0" w:rsidRPr="00DB0BCC" w:rsidTr="00282BAC">
              <w:trPr>
                <w:trHeight w:val="56"/>
              </w:trPr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282BA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SEXTO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4C3BD0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20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de 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febrero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201</w:t>
                  </w:r>
                  <w:r w:rsidR="00A274EC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5</w:t>
                  </w:r>
                </w:p>
              </w:tc>
            </w:tr>
            <w:tr w:rsidR="004C3BD0" w:rsidRPr="00DB0BCC" w:rsidTr="00282BAC">
              <w:trPr>
                <w:trHeight w:val="56"/>
              </w:trPr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SEPTIMO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A274EC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20 de 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marzo 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de 2015</w:t>
                  </w:r>
                </w:p>
              </w:tc>
            </w:tr>
            <w:tr w:rsidR="004C3BD0" w:rsidRPr="00DB0BCC" w:rsidTr="00282BAC">
              <w:trPr>
                <w:trHeight w:val="56"/>
              </w:trPr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OCTAVO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A274EC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20 de 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abril 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de 2015</w:t>
                  </w:r>
                </w:p>
              </w:tc>
            </w:tr>
            <w:tr w:rsidR="004C3BD0" w:rsidRPr="00DB0BCC" w:rsidTr="00282BAC">
              <w:trPr>
                <w:trHeight w:val="56"/>
              </w:trPr>
              <w:tc>
                <w:tcPr>
                  <w:tcW w:w="2992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NOVENO PAGO</w:t>
                  </w:r>
                </w:p>
              </w:tc>
              <w:tc>
                <w:tcPr>
                  <w:tcW w:w="2993" w:type="dxa"/>
                </w:tcPr>
                <w:p w:rsidR="004C3BD0" w:rsidRPr="00282BAC" w:rsidRDefault="004C3BD0" w:rsidP="00085385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4E6B07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4,000.00</w:t>
                  </w:r>
                </w:p>
              </w:tc>
              <w:tc>
                <w:tcPr>
                  <w:tcW w:w="2993" w:type="dxa"/>
                </w:tcPr>
                <w:p w:rsidR="004C3BD0" w:rsidRPr="009909C1" w:rsidRDefault="00A274EC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Hasta el 20 de </w:t>
                  </w:r>
                  <w:r w:rsidR="009D2F60"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mayo </w:t>
                  </w: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de 2015</w:t>
                  </w:r>
                </w:p>
              </w:tc>
            </w:tr>
          </w:tbl>
          <w:p w:rsidR="00042F36" w:rsidRPr="0094559E" w:rsidRDefault="00042F36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:rsidR="003158E2" w:rsidRPr="0094559E" w:rsidRDefault="000534F5" w:rsidP="00C171B0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>SUBSIDIO ECONÓMICO</w:t>
            </w:r>
            <w:r w:rsidR="003158E2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:rsidR="00FB6780" w:rsidRPr="0094559E" w:rsidRDefault="000534F5" w:rsidP="00C171B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Para los participantes de nacionalidad panameña con residencia en Panamá, </w:t>
            </w:r>
            <w:r w:rsidR="00FB6780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SENACYT </w:t>
            </w:r>
            <w:r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estará ofreciendo un subsidio económico de </w:t>
            </w:r>
            <w:r w:rsidR="00623599">
              <w:rPr>
                <w:rFonts w:asciiTheme="minorHAnsi" w:hAnsiTheme="minorHAnsi" w:cstheme="minorHAnsi"/>
                <w:b/>
                <w:sz w:val="18"/>
                <w:szCs w:val="18"/>
              </w:rPr>
              <w:t>Veinti</w:t>
            </w:r>
            <w:r w:rsidR="00DE7DA2">
              <w:rPr>
                <w:rFonts w:asciiTheme="minorHAnsi" w:hAnsiTheme="minorHAnsi" w:cstheme="minorHAnsi"/>
                <w:b/>
                <w:sz w:val="18"/>
                <w:szCs w:val="18"/>
              </w:rPr>
              <w:t>siete</w:t>
            </w:r>
            <w:r w:rsidR="006109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Mil</w:t>
            </w:r>
            <w:r w:rsidR="006235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Quinientos</w:t>
            </w:r>
            <w:r w:rsidR="0061095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Balboas (B/.2</w:t>
            </w:r>
            <w:r w:rsidR="00DE7DA2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61095A">
              <w:rPr>
                <w:rFonts w:asciiTheme="minorHAnsi" w:hAnsiTheme="minorHAnsi" w:cstheme="minorHAnsi"/>
                <w:b/>
                <w:sz w:val="18"/>
                <w:szCs w:val="18"/>
              </w:rPr>
              <w:t>,5</w:t>
            </w:r>
            <w:r w:rsidR="00FB6780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00.00) y el </w:t>
            </w:r>
            <w:r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participante </w:t>
            </w:r>
            <w:r w:rsidR="00FB6780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deberá cubrir el </w:t>
            </w:r>
            <w:r w:rsidR="00931AE6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monto</w:t>
            </w:r>
            <w:r w:rsidR="00FB6780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de </w:t>
            </w:r>
            <w:r w:rsidR="00CA53BE">
              <w:rPr>
                <w:rFonts w:asciiTheme="minorHAnsi" w:hAnsiTheme="minorHAnsi" w:cstheme="minorHAnsi"/>
                <w:b/>
                <w:sz w:val="18"/>
                <w:szCs w:val="18"/>
              </w:rPr>
              <w:t>Nueve Mil Balboas (B/.9</w:t>
            </w:r>
            <w:r w:rsidR="00FB6780" w:rsidRPr="0094559E">
              <w:rPr>
                <w:rFonts w:asciiTheme="minorHAnsi" w:hAnsiTheme="minorHAnsi" w:cstheme="minorHAnsi"/>
                <w:b/>
                <w:sz w:val="18"/>
                <w:szCs w:val="18"/>
              </w:rPr>
              <w:t>,000.00)</w:t>
            </w:r>
            <w:r w:rsidR="00CD624D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CD62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 sea en un pago único e</w:t>
            </w:r>
            <w:r w:rsidR="00CD624D" w:rsidRPr="00F51180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n un periodo no mayor de  quince (15) días después de la firma del contrato </w:t>
            </w:r>
            <w:r w:rsidR="00CD624D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de subsidio económico o </w:t>
            </w:r>
            <w:r w:rsidR="00CD624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tal como lo indica el siguiente cuadro</w:t>
            </w:r>
            <w:r w:rsidR="00CD624D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  <w:tbl>
            <w:tblPr>
              <w:tblStyle w:val="Tablaconcuadrcula"/>
              <w:tblW w:w="8978" w:type="dxa"/>
              <w:tblLook w:val="04A0" w:firstRow="1" w:lastRow="0" w:firstColumn="1" w:lastColumn="0" w:noHBand="0" w:noVBand="1"/>
            </w:tblPr>
            <w:tblGrid>
              <w:gridCol w:w="2992"/>
              <w:gridCol w:w="2993"/>
              <w:gridCol w:w="2993"/>
            </w:tblGrid>
            <w:tr w:rsidR="009909C1" w:rsidRPr="00DB0BCC" w:rsidTr="009909C1">
              <w:tc>
                <w:tcPr>
                  <w:tcW w:w="2992" w:type="dxa"/>
                </w:tcPr>
                <w:p w:rsidR="009909C1" w:rsidRPr="00DB0BCC" w:rsidRDefault="009909C1" w:rsidP="0023484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DB0BC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PRIMER PAGO</w:t>
                  </w:r>
                </w:p>
              </w:tc>
              <w:tc>
                <w:tcPr>
                  <w:tcW w:w="2993" w:type="dxa"/>
                </w:tcPr>
                <w:p w:rsidR="009909C1" w:rsidRPr="00DB0BCC" w:rsidRDefault="009909C1" w:rsidP="0023484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</w:t>
                  </w:r>
                  <w:r w:rsidRPr="00DB0BC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23484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En un periodo no mayor de  quince (15) días después de la firma del contrato para estudios.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Pr="00DB0BCC" w:rsidRDefault="009909C1" w:rsidP="0023484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DB0BC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SEGUNDO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714D0A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8C269D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octubre 2014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Pr="00DB0BCC" w:rsidRDefault="009909C1" w:rsidP="0023484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TERCER</w:t>
                  </w:r>
                  <w:r w:rsidRPr="00DB0BC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714D0A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8C269D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 noviembre 2014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Default="009909C1" w:rsidP="0023484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CUARTO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714D0A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8C269D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19 de diciembre 2014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Pr="00DB0BCC" w:rsidRDefault="009909C1" w:rsidP="00D40AC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QUINTO</w:t>
                  </w:r>
                  <w:r w:rsidRPr="00DB0BCC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 xml:space="preserve">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714D0A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 enero 2015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Default="009909C1" w:rsidP="00D40AC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lastRenderedPageBreak/>
                    <w:t>SEXTO 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714D0A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febrero  2015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Default="009909C1" w:rsidP="00D40AC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SEPTIMO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AE1C83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marzo de 2015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Default="009909C1" w:rsidP="00D40AC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OCTAVO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AE1C83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abril de 2015</w:t>
                  </w:r>
                </w:p>
              </w:tc>
            </w:tr>
            <w:tr w:rsidR="009909C1" w:rsidRPr="00DB0BCC" w:rsidTr="009909C1">
              <w:tc>
                <w:tcPr>
                  <w:tcW w:w="2992" w:type="dxa"/>
                </w:tcPr>
                <w:p w:rsidR="009909C1" w:rsidRDefault="009909C1" w:rsidP="00D40AC4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NOVENO PAGO</w:t>
                  </w:r>
                </w:p>
              </w:tc>
              <w:tc>
                <w:tcPr>
                  <w:tcW w:w="2993" w:type="dxa"/>
                </w:tcPr>
                <w:p w:rsidR="009909C1" w:rsidRDefault="009909C1">
                  <w:r w:rsidRPr="00AE1C83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B/. 1,000.00</w:t>
                  </w:r>
                </w:p>
              </w:tc>
              <w:tc>
                <w:tcPr>
                  <w:tcW w:w="2993" w:type="dxa"/>
                </w:tcPr>
                <w:p w:rsidR="009909C1" w:rsidRPr="009909C1" w:rsidDel="001E4B23" w:rsidRDefault="009909C1" w:rsidP="009D2F60">
                  <w:pPr>
                    <w:autoSpaceDE w:val="0"/>
                    <w:jc w:val="both"/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</w:pPr>
                  <w:r w:rsidRPr="009909C1">
                    <w:rPr>
                      <w:rFonts w:asciiTheme="minorHAnsi" w:hAnsiTheme="minorHAnsi" w:cstheme="minorHAnsi"/>
                      <w:spacing w:val="-3"/>
                      <w:sz w:val="18"/>
                      <w:szCs w:val="18"/>
                    </w:rPr>
                    <w:t>Hasta el 20 de mayo  de 2015</w:t>
                  </w:r>
                </w:p>
              </w:tc>
            </w:tr>
          </w:tbl>
          <w:p w:rsidR="00BF1FD4" w:rsidRPr="000C39A8" w:rsidRDefault="00BF1FD4" w:rsidP="00FB6780">
            <w:pPr>
              <w:jc w:val="both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ED3F49" w:rsidRPr="000C39A8" w:rsidTr="00B752BC">
        <w:trPr>
          <w:trHeight w:val="274"/>
          <w:jc w:val="center"/>
        </w:trPr>
        <w:tc>
          <w:tcPr>
            <w:tcW w:w="110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</w:tcPr>
          <w:p w:rsidR="00ED3F49" w:rsidRPr="000C39A8" w:rsidRDefault="00ED3F49" w:rsidP="006B097E">
            <w:pPr>
              <w:widowControl w:val="0"/>
              <w:spacing w:before="120" w:after="120"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lastRenderedPageBreak/>
              <w:t>REQUISITOS PARA PARTICIPAR</w:t>
            </w:r>
          </w:p>
        </w:tc>
      </w:tr>
      <w:tr w:rsidR="006B097E" w:rsidRPr="000C39A8" w:rsidTr="00C1628B">
        <w:trPr>
          <w:trHeight w:val="617"/>
          <w:jc w:val="center"/>
        </w:trPr>
        <w:tc>
          <w:tcPr>
            <w:tcW w:w="1109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142ADF" w:rsidRDefault="00934D88" w:rsidP="004F2D29">
            <w:p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sz w:val="18"/>
                <w:szCs w:val="18"/>
              </w:rPr>
              <w:t xml:space="preserve">Todos los candidatos deben </w:t>
            </w:r>
            <w:r w:rsidR="00142ADF" w:rsidRPr="000C39A8">
              <w:rPr>
                <w:rFonts w:ascii="Calibri" w:hAnsi="Calibri" w:cs="Arial"/>
                <w:sz w:val="18"/>
                <w:szCs w:val="18"/>
              </w:rPr>
              <w:t>cumplir con los siguientes requisitos:</w:t>
            </w:r>
          </w:p>
          <w:p w:rsidR="008800D8" w:rsidRDefault="008800D8" w:rsidP="009D33DD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Poseer Título de licenciatura o su equivalente, reconocido en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Panamá.Contar</w:t>
            </w:r>
            <w:proofErr w:type="spellEnd"/>
            <w:r>
              <w:rPr>
                <w:rFonts w:ascii="Calibri" w:hAnsi="Calibri" w:cs="Arial"/>
                <w:sz w:val="18"/>
                <w:szCs w:val="18"/>
              </w:rPr>
              <w:t xml:space="preserve"> con un mínimo de dos años de experiencia laboral</w:t>
            </w:r>
          </w:p>
          <w:p w:rsidR="008800D8" w:rsidRDefault="008800D8" w:rsidP="009D33DD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Tener un índice académico mínimo de 1.85 (en una escala de 3.0) o 3.0 GPA (en una escala de 4.0)</w:t>
            </w:r>
          </w:p>
          <w:p w:rsidR="008800D8" w:rsidRDefault="008800D8" w:rsidP="008800D8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Dominio del idioma inglés (las clases serán dictadas totalmente en el idioma inglés)</w:t>
            </w:r>
          </w:p>
          <w:p w:rsidR="008800D8" w:rsidRPr="008800D8" w:rsidRDefault="008800D8" w:rsidP="008800D8">
            <w:pPr>
              <w:pStyle w:val="Prrafodelista"/>
              <w:spacing w:before="20"/>
              <w:ind w:left="59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Los aspirantes del Program</w:t>
            </w:r>
            <w:r w:rsidR="002E1F32">
              <w:rPr>
                <w:rFonts w:ascii="Calibri" w:hAnsi="Calibri" w:cs="Arial"/>
                <w:sz w:val="18"/>
                <w:szCs w:val="18"/>
              </w:rPr>
              <w:t>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deberán adjuntar a su formulario de aplicación los siguientes documentos:</w:t>
            </w:r>
          </w:p>
          <w:p w:rsidR="00EF7DA4" w:rsidRPr="008800D8" w:rsidRDefault="00931AE6" w:rsidP="009D33DD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00D8">
              <w:rPr>
                <w:rFonts w:ascii="Calibri" w:hAnsi="Calibri" w:cs="Arial"/>
                <w:sz w:val="18"/>
                <w:szCs w:val="18"/>
              </w:rPr>
              <w:t xml:space="preserve">Copia de cédula de identidad personal </w:t>
            </w:r>
            <w:r w:rsidR="00357CA5" w:rsidRPr="008800D8">
              <w:rPr>
                <w:rFonts w:ascii="Calibri" w:hAnsi="Calibri" w:cs="Arial"/>
                <w:sz w:val="18"/>
                <w:szCs w:val="18"/>
              </w:rPr>
              <w:t xml:space="preserve">o pasaporte </w:t>
            </w:r>
          </w:p>
          <w:p w:rsidR="004529E6" w:rsidRPr="00655C89" w:rsidRDefault="001D5586" w:rsidP="009D33DD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sz w:val="18"/>
                <w:szCs w:val="18"/>
              </w:rPr>
            </w:pPr>
            <w:r w:rsidRPr="008800D8">
              <w:rPr>
                <w:rFonts w:ascii="Calibri" w:hAnsi="Calibri" w:cs="Arial"/>
                <w:sz w:val="18"/>
                <w:szCs w:val="18"/>
              </w:rPr>
              <w:t>Fotocopia autenticada de títulos y créditos (apostilla</w:t>
            </w:r>
            <w:r w:rsidR="00357CA5" w:rsidRPr="008800D8">
              <w:rPr>
                <w:rFonts w:ascii="Calibri" w:hAnsi="Calibri" w:cs="Arial"/>
                <w:sz w:val="18"/>
                <w:szCs w:val="18"/>
              </w:rPr>
              <w:t>d</w:t>
            </w:r>
            <w:r w:rsidRPr="008800D8">
              <w:rPr>
                <w:rFonts w:ascii="Calibri" w:hAnsi="Calibri" w:cs="Arial"/>
                <w:sz w:val="18"/>
                <w:szCs w:val="18"/>
              </w:rPr>
              <w:t>as, si aplica)</w:t>
            </w:r>
            <w:r w:rsidRPr="00655C89">
              <w:rPr>
                <w:rFonts w:ascii="Calibri" w:hAnsi="Calibri" w:cs="Arial"/>
                <w:sz w:val="18"/>
                <w:szCs w:val="18"/>
              </w:rPr>
              <w:t xml:space="preserve">. Los títulos y créditos </w:t>
            </w:r>
            <w:r w:rsidR="00730258" w:rsidRPr="00655C89">
              <w:rPr>
                <w:rFonts w:ascii="Calibri" w:hAnsi="Calibri" w:cs="Arial"/>
                <w:sz w:val="18"/>
                <w:szCs w:val="18"/>
              </w:rPr>
              <w:t xml:space="preserve">deben ser presentados en inglés y </w:t>
            </w:r>
            <w:r w:rsidRPr="00655C89">
              <w:rPr>
                <w:rFonts w:ascii="Calibri" w:hAnsi="Calibri" w:cs="Arial"/>
                <w:sz w:val="18"/>
                <w:szCs w:val="18"/>
              </w:rPr>
              <w:t xml:space="preserve">español </w:t>
            </w:r>
            <w:r w:rsidR="00730258" w:rsidRPr="00655C89">
              <w:rPr>
                <w:rFonts w:ascii="Calibri" w:hAnsi="Calibri" w:cs="Arial"/>
                <w:sz w:val="18"/>
                <w:szCs w:val="18"/>
              </w:rPr>
              <w:t xml:space="preserve">debidamente </w:t>
            </w:r>
            <w:r w:rsidRPr="00655C89">
              <w:rPr>
                <w:rFonts w:ascii="Calibri" w:hAnsi="Calibri" w:cs="Arial"/>
                <w:sz w:val="18"/>
                <w:szCs w:val="18"/>
              </w:rPr>
              <w:t>traducidos por traductor público autorizado. Los créditos universitarios deben d</w:t>
            </w:r>
            <w:r w:rsidR="00655C89" w:rsidRPr="00655C89">
              <w:rPr>
                <w:rFonts w:ascii="Calibri" w:hAnsi="Calibri" w:cs="Arial"/>
                <w:sz w:val="18"/>
                <w:szCs w:val="18"/>
              </w:rPr>
              <w:t>emostrar un índice mínimo de 1.8</w:t>
            </w:r>
            <w:r w:rsidRPr="00655C89">
              <w:rPr>
                <w:rFonts w:ascii="Calibri" w:hAnsi="Calibri" w:cs="Arial"/>
                <w:sz w:val="18"/>
                <w:szCs w:val="18"/>
              </w:rPr>
              <w:t>5</w:t>
            </w:r>
            <w:r w:rsidR="007B6E2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A0427">
              <w:rPr>
                <w:rFonts w:ascii="Calibri" w:hAnsi="Calibri" w:cs="Arial"/>
                <w:sz w:val="18"/>
                <w:szCs w:val="18"/>
              </w:rPr>
              <w:t>(en una escala de 3.0)</w:t>
            </w:r>
            <w:r w:rsidR="003B4DD8" w:rsidRPr="00655C89">
              <w:rPr>
                <w:rFonts w:ascii="Calibri" w:hAnsi="Calibri" w:cs="Arial"/>
                <w:sz w:val="18"/>
                <w:szCs w:val="18"/>
              </w:rPr>
              <w:t xml:space="preserve"> o 3.0 GPA (</w:t>
            </w:r>
            <w:r w:rsidR="00730258" w:rsidRPr="00655C89">
              <w:rPr>
                <w:rFonts w:ascii="Calibri" w:hAnsi="Calibri" w:cs="Arial"/>
                <w:sz w:val="18"/>
                <w:szCs w:val="18"/>
              </w:rPr>
              <w:t>en una escala de 4.0</w:t>
            </w:r>
            <w:r w:rsidR="003B4DD8" w:rsidRPr="00655C89">
              <w:rPr>
                <w:rFonts w:ascii="Calibri" w:hAnsi="Calibri" w:cs="Arial"/>
                <w:sz w:val="18"/>
                <w:szCs w:val="18"/>
              </w:rPr>
              <w:t>)</w:t>
            </w:r>
            <w:r w:rsidRPr="00655C89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730258" w:rsidRPr="00655C89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EF7DA4" w:rsidRPr="00C21875" w:rsidRDefault="004443EA" w:rsidP="004529E6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C21875">
              <w:rPr>
                <w:rFonts w:ascii="Calibri" w:hAnsi="Calibri" w:cs="Arial"/>
                <w:sz w:val="18"/>
                <w:szCs w:val="18"/>
              </w:rPr>
              <w:t>Estar paz y salvo con SENACYT</w:t>
            </w:r>
            <w:r w:rsidR="00357CA5" w:rsidRPr="00C2187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800D8">
              <w:rPr>
                <w:rFonts w:ascii="Calibri" w:hAnsi="Calibri" w:cs="Arial"/>
                <w:sz w:val="18"/>
                <w:szCs w:val="18"/>
              </w:rPr>
              <w:t>(se tramita a través de la Dirección de Innovación Empresarial de SENACYT)</w:t>
            </w:r>
            <w:r w:rsidR="00357CA5" w:rsidRPr="00C2187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C21875" w:rsidRDefault="00C21875" w:rsidP="004529E6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4529E6" w:rsidRPr="00CD20F5" w:rsidRDefault="004529E6" w:rsidP="004529E6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CD20F5" w:rsidRPr="00042F36" w:rsidRDefault="008800D8" w:rsidP="004529E6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  <w:lang w:val="es-PA"/>
              </w:rPr>
              <w:t xml:space="preserve">Test </w:t>
            </w:r>
            <w:r w:rsidR="002E1F32">
              <w:rPr>
                <w:rFonts w:ascii="Calibri" w:hAnsi="Calibri" w:cs="Arial"/>
                <w:sz w:val="18"/>
                <w:szCs w:val="18"/>
                <w:lang w:val="es-PA"/>
              </w:rPr>
              <w:t xml:space="preserve">of English as a </w:t>
            </w:r>
            <w:proofErr w:type="spellStart"/>
            <w:r w:rsidR="002E1F32">
              <w:rPr>
                <w:rFonts w:ascii="Calibri" w:hAnsi="Calibri" w:cs="Arial"/>
                <w:sz w:val="18"/>
                <w:szCs w:val="18"/>
                <w:lang w:val="es-PA"/>
              </w:rPr>
              <w:t>Foreing</w:t>
            </w:r>
            <w:proofErr w:type="spellEnd"/>
            <w:r w:rsidR="002E1F32">
              <w:rPr>
                <w:rFonts w:ascii="Calibri" w:hAnsi="Calibri" w:cs="Arial"/>
                <w:sz w:val="18"/>
                <w:szCs w:val="18"/>
                <w:lang w:val="es-PA"/>
              </w:rPr>
              <w:t xml:space="preserve"> </w:t>
            </w:r>
            <w:proofErr w:type="spellStart"/>
            <w:r w:rsidR="002E1F32">
              <w:rPr>
                <w:rFonts w:ascii="Calibri" w:hAnsi="Calibri" w:cs="Arial"/>
                <w:sz w:val="18"/>
                <w:szCs w:val="18"/>
                <w:lang w:val="es-PA"/>
              </w:rPr>
              <w:t>Language</w:t>
            </w:r>
            <w:proofErr w:type="spellEnd"/>
            <w:r w:rsidR="002E1F32">
              <w:rPr>
                <w:rFonts w:ascii="Calibri" w:hAnsi="Calibri" w:cs="Arial"/>
                <w:sz w:val="18"/>
                <w:szCs w:val="18"/>
                <w:lang w:val="es-PA"/>
              </w:rPr>
              <w:t xml:space="preserve"> (</w:t>
            </w:r>
            <w:r w:rsidR="001D5586">
              <w:rPr>
                <w:rFonts w:ascii="Calibri" w:hAnsi="Calibri" w:cs="Arial"/>
                <w:sz w:val="18"/>
                <w:szCs w:val="18"/>
                <w:lang w:val="es-PA"/>
              </w:rPr>
              <w:t>TOEFL</w:t>
            </w:r>
            <w:r w:rsidR="002E1F32">
              <w:rPr>
                <w:rFonts w:ascii="Calibri" w:hAnsi="Calibri" w:cs="Arial"/>
                <w:sz w:val="18"/>
                <w:szCs w:val="18"/>
                <w:lang w:val="es-PA"/>
              </w:rPr>
              <w:t>)</w:t>
            </w:r>
            <w:r w:rsidR="00042F36">
              <w:rPr>
                <w:rFonts w:ascii="Calibri" w:hAnsi="Calibri" w:cs="Arial"/>
                <w:sz w:val="18"/>
                <w:szCs w:val="18"/>
                <w:lang w:val="es-PA"/>
              </w:rPr>
              <w:t xml:space="preserve"> </w:t>
            </w:r>
            <w:r w:rsidR="00042F36" w:rsidRPr="00042F36">
              <w:rPr>
                <w:rFonts w:ascii="Calibri" w:hAnsi="Calibri" w:cs="Arial"/>
                <w:sz w:val="18"/>
                <w:szCs w:val="18"/>
              </w:rPr>
              <w:t>con una puntuación mínima de 79 en la versión de internet, de 550 en la versión de papel y de 213 en la versión por computador</w:t>
            </w:r>
            <w:r w:rsidR="001D5586">
              <w:rPr>
                <w:rFonts w:ascii="Calibri" w:hAnsi="Calibri" w:cs="Arial"/>
                <w:sz w:val="18"/>
                <w:szCs w:val="18"/>
                <w:lang w:val="es-PA"/>
              </w:rPr>
              <w:t>)</w:t>
            </w:r>
            <w:r w:rsidR="00042F36">
              <w:rPr>
                <w:rFonts w:ascii="Calibri" w:hAnsi="Calibri" w:cs="Arial"/>
                <w:sz w:val="18"/>
                <w:szCs w:val="18"/>
                <w:lang w:val="es-PA"/>
              </w:rPr>
              <w:t>.</w:t>
            </w:r>
            <w:r>
              <w:rPr>
                <w:rFonts w:ascii="Calibri" w:hAnsi="Calibri" w:cs="Arial"/>
                <w:sz w:val="18"/>
                <w:szCs w:val="18"/>
                <w:lang w:val="es-PA"/>
              </w:rPr>
              <w:t xml:space="preserve"> Estarán eximidos de este requisito aquellos aspirantes que han realizado estudios superiores en países de habla inglesa, para lo cual deberán presentar el Diploma correspondiente.</w:t>
            </w:r>
          </w:p>
          <w:p w:rsidR="00C21875" w:rsidRDefault="00042F36" w:rsidP="00E97CAB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  <w:lang w:val="es-PA"/>
              </w:rPr>
            </w:pPr>
            <w:proofErr w:type="spellStart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>Graduate</w:t>
            </w:r>
            <w:proofErr w:type="spellEnd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 xml:space="preserve"> Record </w:t>
            </w:r>
            <w:proofErr w:type="spellStart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>Exam</w:t>
            </w:r>
            <w:proofErr w:type="spellEnd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 xml:space="preserve"> (GRE) con una puntuación mínima combinada de 550.  Alternativamente, podrán presentar el examen </w:t>
            </w:r>
            <w:proofErr w:type="spellStart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>Graduate</w:t>
            </w:r>
            <w:proofErr w:type="spellEnd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 xml:space="preserve"> Management </w:t>
            </w:r>
            <w:proofErr w:type="spellStart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>Admission</w:t>
            </w:r>
            <w:proofErr w:type="spellEnd"/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 xml:space="preserve"> Test (GMAT) con una puntuación mínima de 575. Cualquiera de las dos opciones escogidas por el aspirante debe presentarse al momento de entrega de los documentos de aplicación. </w:t>
            </w:r>
          </w:p>
          <w:p w:rsidR="00E97CAB" w:rsidRPr="00E97CAB" w:rsidRDefault="00042F36" w:rsidP="00C21875">
            <w:pPr>
              <w:pStyle w:val="Prrafodelista"/>
              <w:spacing w:before="20"/>
              <w:jc w:val="both"/>
              <w:rPr>
                <w:rFonts w:ascii="Calibri" w:hAnsi="Calibri" w:cs="Arial"/>
                <w:sz w:val="18"/>
                <w:szCs w:val="18"/>
                <w:lang w:val="es-PA"/>
              </w:rPr>
            </w:pPr>
            <w:r w:rsidRPr="00042F36">
              <w:rPr>
                <w:rFonts w:ascii="Calibri" w:hAnsi="Calibri" w:cs="Arial"/>
                <w:sz w:val="18"/>
                <w:szCs w:val="18"/>
                <w:lang w:val="es-PA"/>
              </w:rPr>
              <w:t xml:space="preserve">La admisión al Programa de aquellos aspirantes que obtengan un puntaje menor a los mínimos establecidos, serán considerados en base a su experiencia laboral. </w:t>
            </w:r>
            <w:r w:rsidR="00E97CAB" w:rsidRPr="00E97CAB">
              <w:rPr>
                <w:rFonts w:ascii="Calibri" w:hAnsi="Calibri" w:cs="Arial"/>
                <w:sz w:val="18"/>
                <w:szCs w:val="18"/>
                <w:lang w:val="es-PA"/>
              </w:rPr>
              <w:t>Aquellos aspirant</w:t>
            </w:r>
            <w:r w:rsidR="00E97CAB">
              <w:rPr>
                <w:rFonts w:ascii="Calibri" w:hAnsi="Calibri" w:cs="Arial"/>
                <w:sz w:val="18"/>
                <w:szCs w:val="18"/>
                <w:lang w:val="es-PA"/>
              </w:rPr>
              <w:t>e</w:t>
            </w:r>
            <w:r w:rsidR="00E97CAB" w:rsidRPr="00E97CAB">
              <w:rPr>
                <w:rFonts w:ascii="Calibri" w:hAnsi="Calibri" w:cs="Arial"/>
                <w:sz w:val="18"/>
                <w:szCs w:val="18"/>
                <w:lang w:val="es-PA"/>
              </w:rPr>
              <w:t>s que cuenten con 5 o más años de experiencia laboral podr</w:t>
            </w:r>
            <w:r w:rsidR="00E97CAB">
              <w:rPr>
                <w:rFonts w:ascii="Calibri" w:hAnsi="Calibri" w:cs="Arial"/>
                <w:sz w:val="18"/>
                <w:szCs w:val="18"/>
                <w:lang w:val="es-PA"/>
              </w:rPr>
              <w:t>án ser considerados para una exenc</w:t>
            </w:r>
            <w:r w:rsidR="00E97CAB" w:rsidRPr="00E97CAB">
              <w:rPr>
                <w:rFonts w:ascii="Calibri" w:hAnsi="Calibri" w:cs="Arial"/>
                <w:sz w:val="18"/>
                <w:szCs w:val="18"/>
                <w:lang w:val="es-PA"/>
              </w:rPr>
              <w:t>i</w:t>
            </w:r>
            <w:r w:rsidR="00E97CAB">
              <w:rPr>
                <w:rFonts w:ascii="Calibri" w:hAnsi="Calibri" w:cs="Arial"/>
                <w:sz w:val="18"/>
                <w:szCs w:val="18"/>
                <w:lang w:val="es-PA"/>
              </w:rPr>
              <w:t>ón de este requisito.  El Comité de Admisiones analizará la experiencia laboral, historial académico, cartas de recomendación y demás material presentado para determinar si dicha exención será otorgada. Contar con 5 o más años de experiencia laboral no garantiza la exención de este requisito y el comité de Admisiones se reserva el derecho de denegarla en caso de encontrar debilidad en la aplicación del futuro estudiante al programa.</w:t>
            </w:r>
          </w:p>
          <w:p w:rsidR="00042F36" w:rsidRPr="00F52909" w:rsidRDefault="00042F36" w:rsidP="00E97CAB">
            <w:pPr>
              <w:pStyle w:val="Prrafodelista"/>
              <w:spacing w:before="20"/>
              <w:jc w:val="both"/>
              <w:rPr>
                <w:rFonts w:ascii="Calibri" w:hAnsi="Calibri" w:cs="Arial"/>
                <w:i/>
                <w:sz w:val="18"/>
                <w:szCs w:val="18"/>
                <w:lang w:val="es-PA"/>
              </w:rPr>
            </w:pPr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Nota: Este requisito no aplicará para aquellos estudiantes que han completado satisfactoriamente </w:t>
            </w:r>
            <w:r w:rsidR="00C21875">
              <w:rPr>
                <w:rFonts w:ascii="Calibri" w:hAnsi="Calibri" w:cs="Arial"/>
                <w:i/>
                <w:sz w:val="18"/>
                <w:szCs w:val="18"/>
                <w:lang w:val="es-PA"/>
              </w:rPr>
              <w:t>la primera cohorte d</w:t>
            </w:r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el Programa de </w:t>
            </w:r>
            <w:proofErr w:type="spellStart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>Certificate</w:t>
            </w:r>
            <w:proofErr w:type="spellEnd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in </w:t>
            </w:r>
            <w:proofErr w:type="spellStart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>Entrepreneurial</w:t>
            </w:r>
            <w:proofErr w:type="spellEnd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</w:t>
            </w:r>
            <w:proofErr w:type="spellStart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>Excellence</w:t>
            </w:r>
            <w:proofErr w:type="spellEnd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dictado por la Sam M. </w:t>
            </w:r>
            <w:proofErr w:type="spellStart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>Walton</w:t>
            </w:r>
            <w:proofErr w:type="spellEnd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</w:t>
            </w:r>
            <w:proofErr w:type="spellStart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>College</w:t>
            </w:r>
            <w:proofErr w:type="spellEnd"/>
            <w:r w:rsidRPr="00F52909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of Business en colaboración con SENACYT.</w:t>
            </w:r>
          </w:p>
          <w:p w:rsidR="002C4101" w:rsidRPr="000C39A8" w:rsidRDefault="00730258" w:rsidP="002A57CF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Preparar dos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 xml:space="preserve"> ensayo</w:t>
            </w:r>
            <w:r>
              <w:rPr>
                <w:rFonts w:ascii="Calibri" w:hAnsi="Calibri" w:cs="Arial"/>
                <w:sz w:val="18"/>
                <w:szCs w:val="18"/>
              </w:rPr>
              <w:t>s</w:t>
            </w:r>
            <w:r w:rsidR="00BA40BD">
              <w:rPr>
                <w:rFonts w:ascii="Calibri" w:hAnsi="Calibri" w:cs="Arial"/>
                <w:sz w:val="18"/>
                <w:szCs w:val="18"/>
              </w:rPr>
              <w:t xml:space="preserve"> (a) 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 xml:space="preserve">un esbozo de </w:t>
            </w:r>
            <w:r>
              <w:rPr>
                <w:rFonts w:ascii="Calibri" w:hAnsi="Calibri" w:cs="Arial"/>
                <w:sz w:val="18"/>
                <w:szCs w:val="18"/>
              </w:rPr>
              <w:t>p</w:t>
            </w:r>
            <w:r w:rsidR="00C91E8C">
              <w:rPr>
                <w:rFonts w:ascii="Calibri" w:hAnsi="Calibri" w:cs="Arial"/>
                <w:sz w:val="18"/>
                <w:szCs w:val="18"/>
              </w:rPr>
              <w:t>royecto de intervención (p</w:t>
            </w:r>
            <w:r>
              <w:rPr>
                <w:rFonts w:ascii="Calibri" w:hAnsi="Calibri" w:cs="Arial"/>
                <w:sz w:val="18"/>
                <w:szCs w:val="18"/>
              </w:rPr>
              <w:t>lan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 xml:space="preserve"> de negocio</w:t>
            </w:r>
            <w:r w:rsidR="00C91E8C">
              <w:rPr>
                <w:rFonts w:ascii="Calibri" w:hAnsi="Calibri" w:cs="Arial"/>
                <w:sz w:val="18"/>
                <w:szCs w:val="18"/>
              </w:rPr>
              <w:t>)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 xml:space="preserve"> y </w:t>
            </w:r>
            <w:r w:rsidR="00BA40BD">
              <w:rPr>
                <w:rFonts w:ascii="Calibri" w:hAnsi="Calibri" w:cs="Arial"/>
                <w:sz w:val="18"/>
                <w:szCs w:val="18"/>
              </w:rPr>
              <w:t xml:space="preserve">(b) </w:t>
            </w:r>
            <w:r w:rsidR="004529E6" w:rsidRPr="000C39A8">
              <w:rPr>
                <w:rFonts w:ascii="Calibri" w:hAnsi="Calibri" w:cs="Arial"/>
                <w:sz w:val="18"/>
                <w:szCs w:val="18"/>
              </w:rPr>
              <w:t>expectativas del programa (500 palabras)</w:t>
            </w:r>
            <w:r w:rsidR="00EF7D6D" w:rsidRPr="000C39A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728C9" w:rsidRPr="00C728C9">
              <w:rPr>
                <w:rFonts w:ascii="Calibri" w:hAnsi="Calibri" w:cs="Arial"/>
                <w:sz w:val="18"/>
                <w:szCs w:val="18"/>
              </w:rPr>
              <w:t>en inglés y español.</w:t>
            </w:r>
          </w:p>
          <w:p w:rsidR="00EF7D6D" w:rsidRDefault="00EF7D6D" w:rsidP="004529E6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sz w:val="18"/>
                <w:szCs w:val="18"/>
              </w:rPr>
              <w:t>Hoja de vida en inglés y español.</w:t>
            </w:r>
          </w:p>
          <w:p w:rsidR="00F91319" w:rsidRDefault="00DF2059" w:rsidP="00F52909">
            <w:pPr>
              <w:pStyle w:val="Prrafodelista"/>
              <w:numPr>
                <w:ilvl w:val="0"/>
                <w:numId w:val="7"/>
              </w:numPr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D6D05">
              <w:rPr>
                <w:rFonts w:ascii="Calibri" w:hAnsi="Calibri" w:cs="Arial"/>
                <w:sz w:val="18"/>
                <w:szCs w:val="18"/>
              </w:rPr>
              <w:t xml:space="preserve">Entregar </w:t>
            </w:r>
            <w:r w:rsidR="009D6D05" w:rsidRPr="009D6D05">
              <w:rPr>
                <w:rFonts w:ascii="Calibri" w:hAnsi="Calibri" w:cs="Arial"/>
                <w:sz w:val="18"/>
                <w:szCs w:val="18"/>
              </w:rPr>
              <w:t>tres (3</w:t>
            </w:r>
            <w:r w:rsidRPr="009D6D05">
              <w:rPr>
                <w:rFonts w:ascii="Calibri" w:hAnsi="Calibri" w:cs="Arial"/>
                <w:sz w:val="18"/>
                <w:szCs w:val="18"/>
              </w:rPr>
              <w:t xml:space="preserve">) cartas de recomendación </w:t>
            </w:r>
            <w:r w:rsidR="004504B9" w:rsidRPr="009D6D05">
              <w:rPr>
                <w:rFonts w:ascii="Calibri" w:hAnsi="Calibri" w:cs="Arial"/>
                <w:sz w:val="18"/>
                <w:szCs w:val="18"/>
              </w:rPr>
              <w:t>profesionales</w:t>
            </w:r>
            <w:r w:rsidR="00E2786E" w:rsidRPr="009D6D05">
              <w:rPr>
                <w:rFonts w:ascii="Calibri" w:hAnsi="Calibri" w:cs="Arial"/>
                <w:sz w:val="18"/>
                <w:szCs w:val="18"/>
              </w:rPr>
              <w:t xml:space="preserve"> o académicas</w:t>
            </w:r>
            <w:r w:rsidR="000D7A79" w:rsidRPr="009D6D05">
              <w:rPr>
                <w:rFonts w:ascii="Calibri" w:hAnsi="Calibri" w:cs="Arial"/>
                <w:sz w:val="18"/>
                <w:szCs w:val="18"/>
              </w:rPr>
              <w:t>.</w:t>
            </w:r>
          </w:p>
          <w:p w:rsidR="00042F36" w:rsidRDefault="00042F36" w:rsidP="00042F36">
            <w:pPr>
              <w:pStyle w:val="Prrafodelista"/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C21875" w:rsidRPr="00BF1FD4" w:rsidRDefault="00C21875" w:rsidP="00042F36">
            <w:pPr>
              <w:pStyle w:val="Prrafodelista"/>
              <w:spacing w:before="20"/>
              <w:jc w:val="both"/>
              <w:rPr>
                <w:rFonts w:ascii="Calibri" w:hAnsi="Calibri" w:cs="Arial"/>
                <w:i/>
                <w:sz w:val="18"/>
                <w:szCs w:val="18"/>
                <w:lang w:val="es-PA"/>
              </w:rPr>
            </w:pPr>
            <w:r w:rsidRP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La Admisión de los aspirantes al programa estará a entera discreción </w:t>
            </w:r>
            <w:r w:rsid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>de</w:t>
            </w:r>
            <w:r w:rsidRP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Sam M. </w:t>
            </w:r>
            <w:proofErr w:type="spellStart"/>
            <w:r w:rsidRP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>Walton</w:t>
            </w:r>
            <w:proofErr w:type="spellEnd"/>
            <w:r w:rsidRP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</w:t>
            </w:r>
            <w:proofErr w:type="spellStart"/>
            <w:r w:rsidRP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>College</w:t>
            </w:r>
            <w:proofErr w:type="spellEnd"/>
            <w:r w:rsidRPr="00BF1FD4">
              <w:rPr>
                <w:rFonts w:ascii="Calibri" w:hAnsi="Calibri" w:cs="Arial"/>
                <w:i/>
                <w:sz w:val="18"/>
                <w:szCs w:val="18"/>
                <w:lang w:val="es-PA"/>
              </w:rPr>
              <w:t xml:space="preserve"> of Business de la Universidad de Arkansas.</w:t>
            </w:r>
          </w:p>
          <w:p w:rsidR="00C1628B" w:rsidRPr="000C39A8" w:rsidRDefault="00C1628B" w:rsidP="00C1628B">
            <w:pPr>
              <w:pStyle w:val="Prrafodelista"/>
              <w:spacing w:before="20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Los aspirantes deben entregar toda la documentación que aparece en la lista de verificación de la página web de SENACYT.</w:t>
            </w:r>
          </w:p>
        </w:tc>
      </w:tr>
      <w:tr w:rsidR="00ED3F49" w:rsidRPr="000C39A8" w:rsidTr="00B752BC">
        <w:trPr>
          <w:trHeight w:val="293"/>
          <w:jc w:val="center"/>
        </w:trPr>
        <w:tc>
          <w:tcPr>
            <w:tcW w:w="11099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ED3F49" w:rsidRPr="000C39A8" w:rsidRDefault="00ED3F49" w:rsidP="006B097E">
            <w:pPr>
              <w:spacing w:before="120" w:after="120"/>
              <w:ind w:left="57"/>
              <w:jc w:val="center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>FECHA Y PLAZOS DE PRESENTACIÓN</w:t>
            </w:r>
          </w:p>
        </w:tc>
      </w:tr>
      <w:tr w:rsidR="006B097E" w:rsidRPr="000C39A8" w:rsidTr="00B752BC">
        <w:trPr>
          <w:trHeight w:val="620"/>
          <w:jc w:val="center"/>
        </w:trPr>
        <w:tc>
          <w:tcPr>
            <w:tcW w:w="11099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1F14C0" w:rsidRDefault="006B097E" w:rsidP="006B097E">
            <w:pPr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FECHA DE APERTURA DE LA CONVOCATORIA</w:t>
            </w:r>
            <w:r w:rsidR="00EF7D6D" w:rsidRPr="00282BAC">
              <w:rPr>
                <w:rFonts w:ascii="Calibri" w:hAnsi="Calibri" w:cs="Arial"/>
                <w:b/>
                <w:sz w:val="18"/>
                <w:szCs w:val="18"/>
              </w:rPr>
              <w:t xml:space="preserve">: </w:t>
            </w:r>
            <w:r w:rsidR="009148B4" w:rsidRPr="009148B4">
              <w:rPr>
                <w:rFonts w:ascii="Calibri" w:hAnsi="Calibri" w:cs="Arial"/>
                <w:b/>
                <w:sz w:val="18"/>
                <w:szCs w:val="18"/>
              </w:rPr>
              <w:t>22</w:t>
            </w:r>
            <w:r w:rsidR="00EF7D6D" w:rsidRPr="009148B4">
              <w:rPr>
                <w:rFonts w:ascii="Calibri" w:hAnsi="Calibri" w:cs="Arial"/>
                <w:b/>
                <w:sz w:val="18"/>
                <w:szCs w:val="18"/>
              </w:rPr>
              <w:t xml:space="preserve"> de</w:t>
            </w:r>
            <w:r w:rsidR="00B82770" w:rsidRPr="009148B4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1E4B23" w:rsidRPr="009148B4">
              <w:rPr>
                <w:rFonts w:ascii="Calibri" w:hAnsi="Calibri" w:cs="Arial"/>
                <w:b/>
                <w:sz w:val="18"/>
                <w:szCs w:val="18"/>
              </w:rPr>
              <w:t>ju</w:t>
            </w:r>
            <w:r w:rsidR="009148B4" w:rsidRPr="009148B4">
              <w:rPr>
                <w:rFonts w:ascii="Calibri" w:hAnsi="Calibri" w:cs="Arial"/>
                <w:b/>
                <w:sz w:val="18"/>
                <w:szCs w:val="18"/>
              </w:rPr>
              <w:t>l</w:t>
            </w:r>
            <w:r w:rsidR="001E4B23" w:rsidRPr="009148B4">
              <w:rPr>
                <w:rFonts w:ascii="Calibri" w:hAnsi="Calibri" w:cs="Arial"/>
                <w:b/>
                <w:sz w:val="18"/>
                <w:szCs w:val="18"/>
              </w:rPr>
              <w:t xml:space="preserve">io </w:t>
            </w:r>
            <w:r w:rsidR="00CA53BE" w:rsidRPr="009148B4">
              <w:rPr>
                <w:rFonts w:ascii="Calibri" w:hAnsi="Calibri" w:cs="Arial"/>
                <w:b/>
                <w:sz w:val="18"/>
                <w:szCs w:val="18"/>
              </w:rPr>
              <w:t xml:space="preserve"> de 2014</w:t>
            </w:r>
          </w:p>
          <w:p w:rsidR="004A6C57" w:rsidRPr="000C39A8" w:rsidRDefault="00B82770" w:rsidP="001E4B23">
            <w:pPr>
              <w:spacing w:after="120"/>
              <w:rPr>
                <w:rFonts w:ascii="Calibri" w:hAnsi="Calibri" w:cs="Arial"/>
                <w:b/>
                <w:sz w:val="18"/>
                <w:szCs w:val="18"/>
                <w:highlight w:val="yellow"/>
              </w:rPr>
            </w:pPr>
            <w:r w:rsidRPr="001F14C0">
              <w:rPr>
                <w:rFonts w:ascii="Calibri" w:hAnsi="Calibri" w:cs="Arial"/>
                <w:b/>
                <w:sz w:val="18"/>
                <w:szCs w:val="18"/>
              </w:rPr>
              <w:t>PLAZO PARA ENTREGA DE DOCUMENTOS</w:t>
            </w:r>
            <w:r w:rsidR="004A6C57" w:rsidRPr="001F14C0">
              <w:rPr>
                <w:rFonts w:ascii="Calibri" w:hAnsi="Calibri" w:cs="Arial"/>
                <w:b/>
                <w:sz w:val="18"/>
                <w:szCs w:val="18"/>
              </w:rPr>
              <w:t xml:space="preserve"> DE </w:t>
            </w:r>
            <w:r w:rsidR="004A6C57" w:rsidRPr="00730258">
              <w:rPr>
                <w:rFonts w:ascii="Calibri" w:hAnsi="Calibri" w:cs="Arial"/>
                <w:b/>
                <w:sz w:val="18"/>
                <w:szCs w:val="18"/>
              </w:rPr>
              <w:t>BECAS:</w:t>
            </w:r>
            <w:r w:rsidRPr="0073025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1E4B23" w:rsidRPr="009909C1">
              <w:rPr>
                <w:rFonts w:ascii="Calibri" w:hAnsi="Calibri" w:cs="Arial"/>
                <w:b/>
                <w:sz w:val="18"/>
                <w:szCs w:val="18"/>
              </w:rPr>
              <w:t>14</w:t>
            </w:r>
            <w:r w:rsidR="00EF7D6D" w:rsidRPr="009909C1">
              <w:rPr>
                <w:rFonts w:ascii="Calibri" w:hAnsi="Calibri" w:cs="Arial"/>
                <w:b/>
                <w:sz w:val="18"/>
                <w:szCs w:val="18"/>
              </w:rPr>
              <w:t xml:space="preserve"> de </w:t>
            </w:r>
            <w:r w:rsidR="001E4B23" w:rsidRPr="009909C1">
              <w:rPr>
                <w:rFonts w:ascii="Calibri" w:hAnsi="Calibri" w:cs="Arial"/>
                <w:b/>
                <w:sz w:val="18"/>
                <w:szCs w:val="18"/>
              </w:rPr>
              <w:t>agosto</w:t>
            </w:r>
            <w:r w:rsidR="000D7A79" w:rsidRPr="009909C1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EF7D6D" w:rsidRPr="009909C1">
              <w:rPr>
                <w:rFonts w:ascii="Calibri" w:hAnsi="Calibri" w:cs="Arial"/>
                <w:b/>
                <w:sz w:val="18"/>
                <w:szCs w:val="18"/>
              </w:rPr>
              <w:t>de 201</w:t>
            </w:r>
            <w:r w:rsidR="00CA53BE" w:rsidRPr="009909C1">
              <w:rPr>
                <w:rFonts w:ascii="Calibri" w:hAnsi="Calibri" w:cs="Arial"/>
                <w:b/>
                <w:sz w:val="18"/>
                <w:szCs w:val="18"/>
              </w:rPr>
              <w:t>4</w:t>
            </w:r>
            <w:r w:rsidR="00EF7D6D" w:rsidRPr="009909C1">
              <w:rPr>
                <w:rFonts w:ascii="Calibri" w:hAnsi="Calibri" w:cs="Arial"/>
                <w:b/>
                <w:sz w:val="18"/>
                <w:szCs w:val="18"/>
              </w:rPr>
              <w:t xml:space="preserve"> hasta  las 3:00 p.m. hora exacta</w:t>
            </w:r>
            <w:r w:rsidR="004A6C57" w:rsidRPr="009909C1">
              <w:rPr>
                <w:rFonts w:ascii="Calibri" w:hAnsi="Calibri" w:cs="Arial"/>
                <w:b/>
                <w:sz w:val="18"/>
                <w:szCs w:val="18"/>
              </w:rPr>
              <w:t>.</w:t>
            </w:r>
            <w:r w:rsidR="00471F71"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</w:tr>
      <w:tr w:rsidR="006B097E" w:rsidRPr="000C39A8" w:rsidTr="00B752BC">
        <w:trPr>
          <w:trHeight w:val="599"/>
          <w:jc w:val="center"/>
        </w:trPr>
        <w:tc>
          <w:tcPr>
            <w:tcW w:w="110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0C39A8" w:rsidRDefault="0021406D" w:rsidP="00CD20F5">
            <w:pPr>
              <w:spacing w:before="20" w:after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 xml:space="preserve">DOCUMENTACIÓN: </w:t>
            </w:r>
            <w:r w:rsidRPr="000C39A8">
              <w:rPr>
                <w:rFonts w:ascii="Calibri" w:hAnsi="Calibri" w:cs="Arial"/>
                <w:sz w:val="18"/>
                <w:szCs w:val="18"/>
              </w:rPr>
              <w:t>La documentación entregada deberá seguir las instrucciones y formatos estab</w:t>
            </w:r>
            <w:r w:rsidR="00E30532" w:rsidRPr="000C39A8">
              <w:rPr>
                <w:rFonts w:ascii="Calibri" w:hAnsi="Calibri" w:cs="Arial"/>
                <w:sz w:val="18"/>
                <w:szCs w:val="18"/>
              </w:rPr>
              <w:t>lecidos en los formularios</w:t>
            </w:r>
            <w:r w:rsidR="00EF7D6D" w:rsidRPr="000C39A8">
              <w:rPr>
                <w:rFonts w:ascii="Calibri" w:hAnsi="Calibri" w:cs="Arial"/>
                <w:sz w:val="18"/>
                <w:szCs w:val="18"/>
              </w:rPr>
              <w:t xml:space="preserve"> del programa</w:t>
            </w:r>
            <w:r w:rsidRPr="000C39A8">
              <w:rPr>
                <w:rFonts w:ascii="Calibri" w:hAnsi="Calibri" w:cs="Arial"/>
                <w:sz w:val="18"/>
                <w:szCs w:val="18"/>
              </w:rPr>
              <w:t xml:space="preserve">. </w:t>
            </w:r>
            <w:r w:rsidR="00595F58" w:rsidRPr="000C39A8">
              <w:rPr>
                <w:rFonts w:ascii="Calibri" w:hAnsi="Calibri" w:cs="Arial"/>
                <w:sz w:val="18"/>
                <w:szCs w:val="18"/>
              </w:rPr>
              <w:t>Las propuestas deben</w:t>
            </w:r>
            <w:r w:rsidRPr="000C39A8">
              <w:rPr>
                <w:rFonts w:ascii="Calibri" w:hAnsi="Calibri" w:cs="Arial"/>
                <w:sz w:val="18"/>
                <w:szCs w:val="18"/>
              </w:rPr>
              <w:t xml:space="preserve"> ser entregadas en formato electrónico, a través de  la dirección</w:t>
            </w:r>
            <w:r w:rsidR="0061095A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61095A" w:rsidRPr="0061095A">
              <w:rPr>
                <w:rStyle w:val="Hipervnculo"/>
                <w:b/>
                <w:sz w:val="22"/>
              </w:rPr>
              <w:t>arkansasmba@senacyt.gob.pa</w:t>
            </w:r>
            <w:r w:rsidR="0061095A" w:rsidRPr="0061095A">
              <w:rPr>
                <w:rFonts w:ascii="Calibri" w:hAnsi="Calibri" w:cs="Arial"/>
                <w:sz w:val="16"/>
                <w:szCs w:val="18"/>
              </w:rPr>
              <w:t xml:space="preserve"> </w:t>
            </w:r>
            <w:r w:rsidR="0061095A">
              <w:rPr>
                <w:rFonts w:ascii="Calibri" w:hAnsi="Calibri" w:cs="Arial"/>
                <w:sz w:val="18"/>
                <w:szCs w:val="18"/>
              </w:rPr>
              <w:t>h</w:t>
            </w:r>
            <w:r w:rsidR="000C0AD9" w:rsidRPr="0061095A">
              <w:rPr>
                <w:rFonts w:ascii="Calibri" w:hAnsi="Calibri" w:cs="Arial"/>
                <w:sz w:val="18"/>
                <w:szCs w:val="18"/>
              </w:rPr>
              <w:t xml:space="preserve">asta </w:t>
            </w:r>
            <w:r w:rsidRPr="000C39A8">
              <w:rPr>
                <w:rFonts w:ascii="Calibri" w:hAnsi="Calibri" w:cs="Arial"/>
                <w:sz w:val="18"/>
                <w:szCs w:val="18"/>
              </w:rPr>
              <w:t>la fecha y hora  de cierre correspondiente.</w:t>
            </w:r>
            <w:r w:rsidR="00CD20F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6B097E" w:rsidRPr="000C39A8" w:rsidTr="00B752BC">
        <w:trPr>
          <w:trHeight w:val="716"/>
          <w:jc w:val="center"/>
        </w:trPr>
        <w:tc>
          <w:tcPr>
            <w:tcW w:w="110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0C39A8" w:rsidRDefault="0021406D" w:rsidP="0061095A">
            <w:pPr>
              <w:spacing w:before="120" w:after="120"/>
              <w:jc w:val="both"/>
              <w:rPr>
                <w:rFonts w:ascii="Calibri" w:eastAsia="Times New Roman" w:hAnsi="Calibri"/>
                <w:sz w:val="18"/>
                <w:szCs w:val="18"/>
                <w:lang w:eastAsia="es-ES"/>
              </w:rPr>
            </w:pPr>
            <w:r w:rsidRPr="000C39A8">
              <w:rPr>
                <w:rFonts w:ascii="Calibri" w:hAnsi="Calibri" w:cs="Arial"/>
                <w:b/>
                <w:sz w:val="18"/>
                <w:szCs w:val="18"/>
              </w:rPr>
              <w:t>EVALUACIÓN: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SENACYT se reserva el derecho</w:t>
            </w:r>
            <w:r w:rsidR="00D612ED"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</w:t>
            </w:r>
            <w:r w:rsidR="00257B02"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de no adjudicar </w:t>
            </w:r>
            <w:r w:rsidR="009C7B35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ningún  subsidio 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si </w:t>
            </w:r>
            <w:r w:rsidR="006315DF"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las </w:t>
            </w:r>
            <w:r w:rsidR="009C7B35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propuestas </w:t>
            </w:r>
            <w:r w:rsidR="006315DF"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que fueron recibidas 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no cumplen con los criterios y calidad esperados o si las </w:t>
            </w:r>
            <w:r w:rsidR="00CE7C0E"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>circunstancias presupuestarias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impiden las adjudicaciones</w:t>
            </w:r>
            <w:r w:rsidR="000137DF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 de los subsidios</w:t>
            </w:r>
            <w:r w:rsidRPr="000C39A8">
              <w:rPr>
                <w:rFonts w:ascii="Calibri" w:eastAsia="Times New Roman" w:hAnsi="Calibri" w:cs="Arial"/>
                <w:sz w:val="18"/>
                <w:szCs w:val="18"/>
                <w:lang w:eastAsia="es-ES"/>
              </w:rPr>
              <w:t xml:space="preserve">. </w:t>
            </w:r>
          </w:p>
        </w:tc>
      </w:tr>
      <w:tr w:rsidR="006B097E" w:rsidRPr="000C39A8" w:rsidTr="00B752BC">
        <w:trPr>
          <w:trHeight w:val="651"/>
          <w:jc w:val="center"/>
        </w:trPr>
        <w:tc>
          <w:tcPr>
            <w:tcW w:w="110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6B097E" w:rsidRPr="000C39A8" w:rsidRDefault="006B097E" w:rsidP="006B097E">
            <w:pPr>
              <w:spacing w:before="120" w:after="120"/>
              <w:jc w:val="both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Es responsabilidad del proponente y no de la SENACYT asegurarse que la propuesta recibida esté completa y entregada en el</w:t>
            </w:r>
            <w:r w:rsidR="000C0AD9"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 </w:t>
            </w: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(los) plazo(s) previsto(s).</w:t>
            </w:r>
          </w:p>
          <w:p w:rsidR="001B6FE8" w:rsidRPr="000C39A8" w:rsidRDefault="006B097E" w:rsidP="0076729B">
            <w:pPr>
              <w:spacing w:after="120"/>
              <w:jc w:val="both"/>
              <w:rPr>
                <w:rFonts w:ascii="Calibri" w:hAnsi="Calibri" w:cs="Arial"/>
                <w:b/>
                <w:color w:val="FFFFFF"/>
                <w:sz w:val="18"/>
                <w:szCs w:val="18"/>
              </w:rPr>
            </w:pPr>
            <w:r w:rsidRPr="000C39A8">
              <w:rPr>
                <w:rFonts w:ascii="Calibri" w:hAnsi="Calibri" w:cs="Arial"/>
                <w:b/>
                <w:color w:val="FFFFFF" w:themeColor="background1"/>
                <w:sz w:val="18"/>
                <w:szCs w:val="18"/>
              </w:rPr>
              <w:t xml:space="preserve">CONSULTAS: </w:t>
            </w:r>
            <w:hyperlink r:id="rId9" w:history="1">
              <w:r w:rsidR="00D1489A" w:rsidRPr="00862AA5">
                <w:rPr>
                  <w:rStyle w:val="Hipervnculo"/>
                  <w:rFonts w:ascii="Calibri" w:hAnsi="Calibri" w:cs="Arial"/>
                  <w:b/>
                  <w:sz w:val="18"/>
                  <w:szCs w:val="18"/>
                </w:rPr>
                <w:t>arkansasmba@senacyt.gob.pa</w:t>
              </w:r>
            </w:hyperlink>
            <w:r w:rsidR="00E62AC6"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 o </w:t>
            </w:r>
            <w:r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al 517-00</w:t>
            </w:r>
            <w:r w:rsidR="00E86CEC" w:rsidRPr="000C39A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14 </w:t>
            </w:r>
            <w:r w:rsidR="00CD20F5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 xml:space="preserve"> ext. </w:t>
            </w:r>
            <w:r w:rsidR="0094559E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104</w:t>
            </w:r>
            <w:r w:rsidR="003B4DD8">
              <w:rPr>
                <w:rFonts w:ascii="Calibri" w:hAnsi="Calibri" w:cs="Arial"/>
                <w:b/>
                <w:color w:val="FFFFFF"/>
                <w:sz w:val="18"/>
                <w:szCs w:val="18"/>
              </w:rPr>
              <w:t>6</w:t>
            </w:r>
          </w:p>
        </w:tc>
      </w:tr>
    </w:tbl>
    <w:p w:rsidR="00731D51" w:rsidRPr="00266C9F" w:rsidRDefault="00731D51" w:rsidP="00731D51">
      <w:pPr>
        <w:jc w:val="both"/>
        <w:rPr>
          <w:szCs w:val="23"/>
        </w:rPr>
      </w:pPr>
    </w:p>
    <w:sectPr w:rsidR="00731D51" w:rsidRPr="00266C9F" w:rsidSect="00FB0958">
      <w:headerReference w:type="default" r:id="rId10"/>
      <w:type w:val="continuous"/>
      <w:pgSz w:w="12240" w:h="15840" w:code="1"/>
      <w:pgMar w:top="680" w:right="737" w:bottom="340" w:left="73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0F" w:rsidRPr="008B7C32" w:rsidRDefault="00852B0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0">
    <w:p w:rsidR="00852B0F" w:rsidRPr="008B7C32" w:rsidRDefault="00852B0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0F" w:rsidRPr="008B7C32" w:rsidRDefault="00852B0F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0">
    <w:p w:rsidR="00852B0F" w:rsidRPr="008B7C32" w:rsidRDefault="00852B0F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16A" w:rsidRDefault="00AF016A" w:rsidP="00EE78AF">
    <w:pPr>
      <w:pStyle w:val="Encabezado"/>
      <w:jc w:val="right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5274310</wp:posOffset>
          </wp:positionH>
          <wp:positionV relativeFrom="paragraph">
            <wp:posOffset>168275</wp:posOffset>
          </wp:positionV>
          <wp:extent cx="1381125" cy="509905"/>
          <wp:effectExtent l="19050" t="0" r="9525" b="0"/>
          <wp:wrapTight wrapText="bothSides">
            <wp:wrapPolygon edited="0">
              <wp:start x="-298" y="0"/>
              <wp:lineTo x="-298" y="20981"/>
              <wp:lineTo x="21749" y="20981"/>
              <wp:lineTo x="21749" y="0"/>
              <wp:lineTo x="-298" y="0"/>
            </wp:wrapPolygon>
          </wp:wrapTight>
          <wp:docPr id="2" name="Imagen 1" descr="C:\Documents and Settings\fgarcia\Mis documentos\Mis imágenes\logo-oficial-gobierno-nacional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fgarcia\Mis documentos\Mis imágenes\logo-oficial-gobierno-nacional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09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E78AF">
      <w:tab/>
    </w:r>
  </w:p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2707"/>
      <w:gridCol w:w="2649"/>
      <w:gridCol w:w="2976"/>
      <w:gridCol w:w="2650"/>
    </w:tblGrid>
    <w:tr w:rsidR="00AF016A" w:rsidTr="000C39A8">
      <w:trPr>
        <w:trHeight w:val="851"/>
      </w:trPr>
      <w:tc>
        <w:tcPr>
          <w:tcW w:w="2726" w:type="dxa"/>
        </w:tcPr>
        <w:p w:rsidR="00AF016A" w:rsidRDefault="00AF016A" w:rsidP="00EE78AF">
          <w:pPr>
            <w:pStyle w:val="Encabezado"/>
            <w:jc w:val="right"/>
          </w:pPr>
          <w:r>
            <w:rPr>
              <w:noProof/>
              <w:lang w:val="es-PA" w:eastAsia="es-PA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139700</wp:posOffset>
                </wp:positionH>
                <wp:positionV relativeFrom="margin">
                  <wp:posOffset>46990</wp:posOffset>
                </wp:positionV>
                <wp:extent cx="1184910" cy="368935"/>
                <wp:effectExtent l="19050" t="0" r="0" b="0"/>
                <wp:wrapSquare wrapText="bothSides"/>
                <wp:docPr id="1" name="Imagen 3" descr="http://www.senacyt.gob.pa/imagenes/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http://www.senacyt.gob.pa/imagenes/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r:link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910" cy="368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6" w:type="dxa"/>
        </w:tcPr>
        <w:p w:rsidR="00AF016A" w:rsidRDefault="00057C15" w:rsidP="00F52909">
          <w:pPr>
            <w:pStyle w:val="Encabezado"/>
            <w:jc w:val="right"/>
          </w:pPr>
          <w:r>
            <w:rPr>
              <w:noProof/>
              <w:lang w:val="es-PA" w:eastAsia="es-PA"/>
            </w:rPr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356489</wp:posOffset>
                </wp:positionH>
                <wp:positionV relativeFrom="paragraph">
                  <wp:posOffset>21616</wp:posOffset>
                </wp:positionV>
                <wp:extent cx="822198" cy="819302"/>
                <wp:effectExtent l="19050" t="0" r="0" b="0"/>
                <wp:wrapNone/>
                <wp:docPr id="6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198" cy="819302"/>
                        </a:xfrm>
                        <a:prstGeom prst="rect">
                          <a:avLst/>
                        </a:prstGeom>
                        <a:noFill/>
                        <a:ln w="0" algn="in"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27" w:type="dxa"/>
        </w:tcPr>
        <w:p w:rsidR="00AF016A" w:rsidRDefault="00E3476E" w:rsidP="00D1489A">
          <w:pPr>
            <w:pStyle w:val="Encabezado"/>
          </w:pPr>
          <w:r>
            <w:rPr>
              <w:noProof/>
              <w:lang w:val="es-PA" w:eastAsia="es-PA"/>
            </w:rPr>
            <w:drawing>
              <wp:inline distT="0" distB="0" distL="0" distR="0">
                <wp:extent cx="1730792" cy="875241"/>
                <wp:effectExtent l="19050" t="0" r="2758" b="0"/>
                <wp:docPr id="5" name="Imagen 2" descr="C:\Users\pfranco.SENACYT\AppData\Local\Microsoft\Windows\Temporary Internet Files\Content.Outlook\27V6BT0H\GSBcolorNEW WALTON LOGO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franco.SENACYT\AppData\Local\Microsoft\Windows\Temporary Internet Files\Content.Outlook\27V6BT0H\GSBcolorNEW WALTON LOGO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165" cy="8764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7" w:type="dxa"/>
        </w:tcPr>
        <w:p w:rsidR="00AF016A" w:rsidRDefault="00AF016A" w:rsidP="00EE78AF">
          <w:pPr>
            <w:pStyle w:val="Encabezado"/>
            <w:jc w:val="right"/>
          </w:pPr>
        </w:p>
      </w:tc>
    </w:tr>
  </w:tbl>
  <w:p w:rsidR="003473D6" w:rsidRDefault="00EE78AF" w:rsidP="00EE78AF">
    <w:pPr>
      <w:pStyle w:val="Encabezado"/>
      <w:jc w:val="right"/>
      <w:rPr>
        <w:sz w:val="2"/>
        <w:szCs w:val="2"/>
      </w:rPr>
    </w:pPr>
    <w:r>
      <w:tab/>
    </w:r>
    <w:r>
      <w:tab/>
    </w:r>
    <w:r>
      <w:tab/>
      <w:t xml:space="preserve">  </w:t>
    </w:r>
    <w:r w:rsidR="00257B02">
      <w:rPr>
        <w:sz w:val="2"/>
        <w:szCs w:val="2"/>
      </w:rPr>
      <w:t xml:space="preserve"> </w:t>
    </w:r>
    <w:r w:rsidR="00257B02">
      <w:rPr>
        <w:sz w:val="2"/>
        <w:szCs w:val="2"/>
      </w:rPr>
      <w:tab/>
    </w:r>
    <w:r w:rsidR="003473D6" w:rsidRPr="00C25E72">
      <w:rPr>
        <w:sz w:val="2"/>
        <w:szCs w:val="2"/>
      </w:rPr>
      <w:tab/>
      <w:t xml:space="preserve">      </w:t>
    </w: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FB0958" w:rsidP="00EE78AF">
    <w:pPr>
      <w:pStyle w:val="Encabezado"/>
      <w:jc w:val="right"/>
      <w:rPr>
        <w:sz w:val="2"/>
        <w:szCs w:val="2"/>
      </w:rPr>
    </w:pPr>
    <w:r>
      <w:rPr>
        <w:noProof/>
        <w:sz w:val="2"/>
        <w:szCs w:val="2"/>
        <w:lang w:val="es-PA" w:eastAsia="es-PA"/>
      </w:rPr>
      <w:t xml:space="preserve"> </w:t>
    </w: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Default="00E71B01" w:rsidP="00EE78AF">
    <w:pPr>
      <w:pStyle w:val="Encabezado"/>
      <w:jc w:val="right"/>
      <w:rPr>
        <w:sz w:val="2"/>
        <w:szCs w:val="2"/>
      </w:rPr>
    </w:pPr>
  </w:p>
  <w:p w:rsidR="00E71B01" w:rsidRPr="00C25E72" w:rsidRDefault="00E71B01" w:rsidP="000641A9">
    <w:pPr>
      <w:pStyle w:val="Encabezado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53D"/>
    <w:multiLevelType w:val="hybridMultilevel"/>
    <w:tmpl w:val="48D47F1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44CF"/>
    <w:multiLevelType w:val="hybridMultilevel"/>
    <w:tmpl w:val="1E3C42C0"/>
    <w:lvl w:ilvl="0" w:tplc="18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>
    <w:nsid w:val="1F5119DB"/>
    <w:multiLevelType w:val="hybridMultilevel"/>
    <w:tmpl w:val="2EF6D83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4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D1A0B"/>
    <w:multiLevelType w:val="hybridMultilevel"/>
    <w:tmpl w:val="9280D788"/>
    <w:lvl w:ilvl="0" w:tplc="1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5892213"/>
    <w:multiLevelType w:val="hybridMultilevel"/>
    <w:tmpl w:val="DA8233B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E75E0"/>
    <w:multiLevelType w:val="hybridMultilevel"/>
    <w:tmpl w:val="D6EC997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A0EBC"/>
    <w:multiLevelType w:val="hybridMultilevel"/>
    <w:tmpl w:val="89122214"/>
    <w:lvl w:ilvl="0" w:tplc="7FAEA59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505" w:hanging="360"/>
      </w:pPr>
    </w:lvl>
    <w:lvl w:ilvl="2" w:tplc="180A001B" w:tentative="1">
      <w:start w:val="1"/>
      <w:numFmt w:val="lowerRoman"/>
      <w:lvlText w:val="%3."/>
      <w:lvlJc w:val="right"/>
      <w:pPr>
        <w:ind w:left="3225" w:hanging="180"/>
      </w:pPr>
    </w:lvl>
    <w:lvl w:ilvl="3" w:tplc="180A000F" w:tentative="1">
      <w:start w:val="1"/>
      <w:numFmt w:val="decimal"/>
      <w:lvlText w:val="%4."/>
      <w:lvlJc w:val="left"/>
      <w:pPr>
        <w:ind w:left="3945" w:hanging="360"/>
      </w:pPr>
    </w:lvl>
    <w:lvl w:ilvl="4" w:tplc="180A0019" w:tentative="1">
      <w:start w:val="1"/>
      <w:numFmt w:val="lowerLetter"/>
      <w:lvlText w:val="%5."/>
      <w:lvlJc w:val="left"/>
      <w:pPr>
        <w:ind w:left="4665" w:hanging="360"/>
      </w:pPr>
    </w:lvl>
    <w:lvl w:ilvl="5" w:tplc="180A001B" w:tentative="1">
      <w:start w:val="1"/>
      <w:numFmt w:val="lowerRoman"/>
      <w:lvlText w:val="%6."/>
      <w:lvlJc w:val="right"/>
      <w:pPr>
        <w:ind w:left="5385" w:hanging="180"/>
      </w:pPr>
    </w:lvl>
    <w:lvl w:ilvl="6" w:tplc="180A000F" w:tentative="1">
      <w:start w:val="1"/>
      <w:numFmt w:val="decimal"/>
      <w:lvlText w:val="%7."/>
      <w:lvlJc w:val="left"/>
      <w:pPr>
        <w:ind w:left="6105" w:hanging="360"/>
      </w:pPr>
    </w:lvl>
    <w:lvl w:ilvl="7" w:tplc="180A0019" w:tentative="1">
      <w:start w:val="1"/>
      <w:numFmt w:val="lowerLetter"/>
      <w:lvlText w:val="%8."/>
      <w:lvlJc w:val="left"/>
      <w:pPr>
        <w:ind w:left="6825" w:hanging="360"/>
      </w:pPr>
    </w:lvl>
    <w:lvl w:ilvl="8" w:tplc="180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B89538F"/>
    <w:multiLevelType w:val="hybridMultilevel"/>
    <w:tmpl w:val="FE801F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63A19DE"/>
    <w:multiLevelType w:val="hybridMultilevel"/>
    <w:tmpl w:val="13561F2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2A05D3"/>
    <w:multiLevelType w:val="hybridMultilevel"/>
    <w:tmpl w:val="3FCE444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F737B"/>
    <w:multiLevelType w:val="hybridMultilevel"/>
    <w:tmpl w:val="BD1A45EE"/>
    <w:lvl w:ilvl="0" w:tplc="4FF87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  <w:lang w:val="es-PA"/>
      </w:rPr>
    </w:lvl>
    <w:lvl w:ilvl="1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CFE4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3" w:tplc="1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BC828D4"/>
    <w:multiLevelType w:val="hybridMultilevel"/>
    <w:tmpl w:val="78109F36"/>
    <w:lvl w:ilvl="0" w:tplc="1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704CE"/>
    <w:multiLevelType w:val="hybridMultilevel"/>
    <w:tmpl w:val="5EAED82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3F7B5B"/>
    <w:multiLevelType w:val="hybridMultilevel"/>
    <w:tmpl w:val="36060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4"/>
  </w:num>
  <w:num w:numId="5">
    <w:abstractNumId w:val="10"/>
  </w:num>
  <w:num w:numId="6">
    <w:abstractNumId w:val="15"/>
  </w:num>
  <w:num w:numId="7">
    <w:abstractNumId w:val="12"/>
  </w:num>
  <w:num w:numId="8">
    <w:abstractNumId w:val="1"/>
  </w:num>
  <w:num w:numId="9">
    <w:abstractNumId w:val="11"/>
  </w:num>
  <w:num w:numId="10">
    <w:abstractNumId w:val="6"/>
  </w:num>
  <w:num w:numId="11">
    <w:abstractNumId w:val="14"/>
  </w:num>
  <w:num w:numId="12">
    <w:abstractNumId w:val="8"/>
  </w:num>
  <w:num w:numId="13">
    <w:abstractNumId w:val="7"/>
  </w:num>
  <w:num w:numId="14">
    <w:abstractNumId w:val="13"/>
  </w:num>
  <w:num w:numId="15">
    <w:abstractNumId w:val="3"/>
  </w:num>
  <w:num w:numId="1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76853"/>
    <w:rsid w:val="0000320D"/>
    <w:rsid w:val="00010926"/>
    <w:rsid w:val="00011DBB"/>
    <w:rsid w:val="000137DF"/>
    <w:rsid w:val="00023717"/>
    <w:rsid w:val="00042F36"/>
    <w:rsid w:val="000534F5"/>
    <w:rsid w:val="00054AB2"/>
    <w:rsid w:val="00057C15"/>
    <w:rsid w:val="000641A9"/>
    <w:rsid w:val="000663B8"/>
    <w:rsid w:val="000754E4"/>
    <w:rsid w:val="00076853"/>
    <w:rsid w:val="0008201D"/>
    <w:rsid w:val="00084996"/>
    <w:rsid w:val="0009136F"/>
    <w:rsid w:val="000927E6"/>
    <w:rsid w:val="00094DDB"/>
    <w:rsid w:val="00096916"/>
    <w:rsid w:val="000A1C8A"/>
    <w:rsid w:val="000A4473"/>
    <w:rsid w:val="000B7352"/>
    <w:rsid w:val="000C0AD9"/>
    <w:rsid w:val="000C39A8"/>
    <w:rsid w:val="000D049C"/>
    <w:rsid w:val="000D36DF"/>
    <w:rsid w:val="000D7A79"/>
    <w:rsid w:val="000D7F42"/>
    <w:rsid w:val="000E08BD"/>
    <w:rsid w:val="000E205B"/>
    <w:rsid w:val="000F0E65"/>
    <w:rsid w:val="000F1F45"/>
    <w:rsid w:val="00101E2A"/>
    <w:rsid w:val="0010696F"/>
    <w:rsid w:val="001077DA"/>
    <w:rsid w:val="001217B2"/>
    <w:rsid w:val="00122072"/>
    <w:rsid w:val="00130638"/>
    <w:rsid w:val="00142ADF"/>
    <w:rsid w:val="00142FC8"/>
    <w:rsid w:val="00151F52"/>
    <w:rsid w:val="001533B2"/>
    <w:rsid w:val="00156026"/>
    <w:rsid w:val="001625E0"/>
    <w:rsid w:val="00166A5A"/>
    <w:rsid w:val="00166FF4"/>
    <w:rsid w:val="00172EB2"/>
    <w:rsid w:val="00177729"/>
    <w:rsid w:val="001855E7"/>
    <w:rsid w:val="00185E11"/>
    <w:rsid w:val="001A1F63"/>
    <w:rsid w:val="001A3DC9"/>
    <w:rsid w:val="001B6FE8"/>
    <w:rsid w:val="001C3AD1"/>
    <w:rsid w:val="001C590C"/>
    <w:rsid w:val="001C6E72"/>
    <w:rsid w:val="001D4003"/>
    <w:rsid w:val="001D5586"/>
    <w:rsid w:val="001D7FBD"/>
    <w:rsid w:val="001E2753"/>
    <w:rsid w:val="001E29E7"/>
    <w:rsid w:val="001E4B23"/>
    <w:rsid w:val="001E5356"/>
    <w:rsid w:val="001E5939"/>
    <w:rsid w:val="001F0DF6"/>
    <w:rsid w:val="001F14C0"/>
    <w:rsid w:val="001F5AB1"/>
    <w:rsid w:val="0021406D"/>
    <w:rsid w:val="002175DF"/>
    <w:rsid w:val="00232E8D"/>
    <w:rsid w:val="00237DDA"/>
    <w:rsid w:val="0024128B"/>
    <w:rsid w:val="0025452C"/>
    <w:rsid w:val="00257B02"/>
    <w:rsid w:val="002626D3"/>
    <w:rsid w:val="00266C9F"/>
    <w:rsid w:val="00282BAC"/>
    <w:rsid w:val="002953B4"/>
    <w:rsid w:val="00295C75"/>
    <w:rsid w:val="0029661E"/>
    <w:rsid w:val="002A08D2"/>
    <w:rsid w:val="002A57CF"/>
    <w:rsid w:val="002A7B8F"/>
    <w:rsid w:val="002B0584"/>
    <w:rsid w:val="002B61B3"/>
    <w:rsid w:val="002C4101"/>
    <w:rsid w:val="002D15BF"/>
    <w:rsid w:val="002D1FFB"/>
    <w:rsid w:val="002D3256"/>
    <w:rsid w:val="002D5658"/>
    <w:rsid w:val="002D6550"/>
    <w:rsid w:val="002D6EBA"/>
    <w:rsid w:val="002E1F32"/>
    <w:rsid w:val="002E2155"/>
    <w:rsid w:val="002E39DA"/>
    <w:rsid w:val="002F1922"/>
    <w:rsid w:val="00302FF9"/>
    <w:rsid w:val="003158E2"/>
    <w:rsid w:val="00315B29"/>
    <w:rsid w:val="003212E5"/>
    <w:rsid w:val="00324338"/>
    <w:rsid w:val="003363CD"/>
    <w:rsid w:val="00346012"/>
    <w:rsid w:val="00346A23"/>
    <w:rsid w:val="003473D6"/>
    <w:rsid w:val="0035077B"/>
    <w:rsid w:val="00356BBD"/>
    <w:rsid w:val="00357CA5"/>
    <w:rsid w:val="0037706D"/>
    <w:rsid w:val="00383591"/>
    <w:rsid w:val="0038580F"/>
    <w:rsid w:val="00391277"/>
    <w:rsid w:val="003A37C9"/>
    <w:rsid w:val="003B227F"/>
    <w:rsid w:val="003B4DD8"/>
    <w:rsid w:val="003C03E3"/>
    <w:rsid w:val="003C6489"/>
    <w:rsid w:val="003E49AA"/>
    <w:rsid w:val="003E7FE6"/>
    <w:rsid w:val="003F0FB4"/>
    <w:rsid w:val="0041232B"/>
    <w:rsid w:val="004157DB"/>
    <w:rsid w:val="00425391"/>
    <w:rsid w:val="0042573B"/>
    <w:rsid w:val="00437DEC"/>
    <w:rsid w:val="00442380"/>
    <w:rsid w:val="004443EA"/>
    <w:rsid w:val="00446153"/>
    <w:rsid w:val="004504B9"/>
    <w:rsid w:val="004529E6"/>
    <w:rsid w:val="00457BBE"/>
    <w:rsid w:val="00471F71"/>
    <w:rsid w:val="00472C0E"/>
    <w:rsid w:val="004947E9"/>
    <w:rsid w:val="00496440"/>
    <w:rsid w:val="004A6C57"/>
    <w:rsid w:val="004B7405"/>
    <w:rsid w:val="004C3BD0"/>
    <w:rsid w:val="004C6B81"/>
    <w:rsid w:val="004D424B"/>
    <w:rsid w:val="004D5B2F"/>
    <w:rsid w:val="004D64B5"/>
    <w:rsid w:val="004D7B34"/>
    <w:rsid w:val="004E0A54"/>
    <w:rsid w:val="004E7A4C"/>
    <w:rsid w:val="004E7FD7"/>
    <w:rsid w:val="004F2D29"/>
    <w:rsid w:val="005144AC"/>
    <w:rsid w:val="00517041"/>
    <w:rsid w:val="005313BF"/>
    <w:rsid w:val="00542834"/>
    <w:rsid w:val="005530CA"/>
    <w:rsid w:val="00572C8C"/>
    <w:rsid w:val="00576144"/>
    <w:rsid w:val="00594BC8"/>
    <w:rsid w:val="00595F58"/>
    <w:rsid w:val="005A4443"/>
    <w:rsid w:val="005B1648"/>
    <w:rsid w:val="005B5994"/>
    <w:rsid w:val="005B5A21"/>
    <w:rsid w:val="005C094C"/>
    <w:rsid w:val="005D2953"/>
    <w:rsid w:val="005E6AA2"/>
    <w:rsid w:val="005F0F82"/>
    <w:rsid w:val="005F4456"/>
    <w:rsid w:val="00602FD4"/>
    <w:rsid w:val="006071B6"/>
    <w:rsid w:val="0061095A"/>
    <w:rsid w:val="00623599"/>
    <w:rsid w:val="006273D4"/>
    <w:rsid w:val="006315DF"/>
    <w:rsid w:val="006333CA"/>
    <w:rsid w:val="00634494"/>
    <w:rsid w:val="00637374"/>
    <w:rsid w:val="00641AA4"/>
    <w:rsid w:val="00641E4B"/>
    <w:rsid w:val="00655C32"/>
    <w:rsid w:val="00655C89"/>
    <w:rsid w:val="00655F39"/>
    <w:rsid w:val="00656325"/>
    <w:rsid w:val="00670E0B"/>
    <w:rsid w:val="00673BAD"/>
    <w:rsid w:val="00674DBD"/>
    <w:rsid w:val="00677426"/>
    <w:rsid w:val="00683ADA"/>
    <w:rsid w:val="006855F7"/>
    <w:rsid w:val="0069097D"/>
    <w:rsid w:val="006948CC"/>
    <w:rsid w:val="006A1A94"/>
    <w:rsid w:val="006B097E"/>
    <w:rsid w:val="006B697B"/>
    <w:rsid w:val="006E2F26"/>
    <w:rsid w:val="006F2B2E"/>
    <w:rsid w:val="00703160"/>
    <w:rsid w:val="00704EBF"/>
    <w:rsid w:val="00704F87"/>
    <w:rsid w:val="00705E30"/>
    <w:rsid w:val="00706223"/>
    <w:rsid w:val="00723BAB"/>
    <w:rsid w:val="00730258"/>
    <w:rsid w:val="00731D51"/>
    <w:rsid w:val="00732B09"/>
    <w:rsid w:val="00747B9D"/>
    <w:rsid w:val="0075740C"/>
    <w:rsid w:val="00760AA0"/>
    <w:rsid w:val="0076729B"/>
    <w:rsid w:val="00770556"/>
    <w:rsid w:val="00773650"/>
    <w:rsid w:val="0077386F"/>
    <w:rsid w:val="00773D7A"/>
    <w:rsid w:val="007810B4"/>
    <w:rsid w:val="00782BED"/>
    <w:rsid w:val="00786711"/>
    <w:rsid w:val="0079412D"/>
    <w:rsid w:val="00795664"/>
    <w:rsid w:val="007A61F9"/>
    <w:rsid w:val="007B668A"/>
    <w:rsid w:val="007B6E2A"/>
    <w:rsid w:val="007C39F5"/>
    <w:rsid w:val="007C3C06"/>
    <w:rsid w:val="007D2F91"/>
    <w:rsid w:val="007D4816"/>
    <w:rsid w:val="007E055E"/>
    <w:rsid w:val="007E2721"/>
    <w:rsid w:val="007F4E65"/>
    <w:rsid w:val="00802D45"/>
    <w:rsid w:val="0080528E"/>
    <w:rsid w:val="00820207"/>
    <w:rsid w:val="008221B7"/>
    <w:rsid w:val="008379D1"/>
    <w:rsid w:val="00852B0F"/>
    <w:rsid w:val="00865A3F"/>
    <w:rsid w:val="008711AA"/>
    <w:rsid w:val="008800D8"/>
    <w:rsid w:val="00897150"/>
    <w:rsid w:val="008A0427"/>
    <w:rsid w:val="008B05D5"/>
    <w:rsid w:val="008B48A0"/>
    <w:rsid w:val="008B6B23"/>
    <w:rsid w:val="008C779A"/>
    <w:rsid w:val="008E3549"/>
    <w:rsid w:val="008E4E5D"/>
    <w:rsid w:val="008E7EF0"/>
    <w:rsid w:val="00902C8B"/>
    <w:rsid w:val="00903A89"/>
    <w:rsid w:val="009073E6"/>
    <w:rsid w:val="009148B4"/>
    <w:rsid w:val="00922914"/>
    <w:rsid w:val="00924A51"/>
    <w:rsid w:val="0092711C"/>
    <w:rsid w:val="00927457"/>
    <w:rsid w:val="00931AE6"/>
    <w:rsid w:val="00934D88"/>
    <w:rsid w:val="00942F3A"/>
    <w:rsid w:val="0094559E"/>
    <w:rsid w:val="00951EC5"/>
    <w:rsid w:val="00960EA2"/>
    <w:rsid w:val="0096277A"/>
    <w:rsid w:val="0096779B"/>
    <w:rsid w:val="009909C1"/>
    <w:rsid w:val="009A3156"/>
    <w:rsid w:val="009C7AA7"/>
    <w:rsid w:val="009C7B35"/>
    <w:rsid w:val="009D2CBF"/>
    <w:rsid w:val="009D2F60"/>
    <w:rsid w:val="009D33DD"/>
    <w:rsid w:val="009D6D05"/>
    <w:rsid w:val="009E4C1E"/>
    <w:rsid w:val="009F132D"/>
    <w:rsid w:val="009F52B2"/>
    <w:rsid w:val="00A14FA6"/>
    <w:rsid w:val="00A15670"/>
    <w:rsid w:val="00A15F8F"/>
    <w:rsid w:val="00A24BE8"/>
    <w:rsid w:val="00A26B4B"/>
    <w:rsid w:val="00A274EC"/>
    <w:rsid w:val="00A31982"/>
    <w:rsid w:val="00A32320"/>
    <w:rsid w:val="00A336D7"/>
    <w:rsid w:val="00A66B26"/>
    <w:rsid w:val="00A743FC"/>
    <w:rsid w:val="00A86A05"/>
    <w:rsid w:val="00A87EE1"/>
    <w:rsid w:val="00AA1BF7"/>
    <w:rsid w:val="00AA7F98"/>
    <w:rsid w:val="00AB637A"/>
    <w:rsid w:val="00AC1393"/>
    <w:rsid w:val="00AC6FE6"/>
    <w:rsid w:val="00AD1786"/>
    <w:rsid w:val="00AE161E"/>
    <w:rsid w:val="00AE2FD1"/>
    <w:rsid w:val="00AF016A"/>
    <w:rsid w:val="00AF19BE"/>
    <w:rsid w:val="00AF47A5"/>
    <w:rsid w:val="00AF5EB0"/>
    <w:rsid w:val="00B00515"/>
    <w:rsid w:val="00B01BFF"/>
    <w:rsid w:val="00B17DAF"/>
    <w:rsid w:val="00B401FB"/>
    <w:rsid w:val="00B55761"/>
    <w:rsid w:val="00B64ED3"/>
    <w:rsid w:val="00B752BC"/>
    <w:rsid w:val="00B82770"/>
    <w:rsid w:val="00B82BB0"/>
    <w:rsid w:val="00B928AB"/>
    <w:rsid w:val="00BA40BD"/>
    <w:rsid w:val="00BA77B1"/>
    <w:rsid w:val="00BC7667"/>
    <w:rsid w:val="00BD07A0"/>
    <w:rsid w:val="00BE3DAA"/>
    <w:rsid w:val="00BF0819"/>
    <w:rsid w:val="00BF1FD4"/>
    <w:rsid w:val="00C02435"/>
    <w:rsid w:val="00C151B9"/>
    <w:rsid w:val="00C1628B"/>
    <w:rsid w:val="00C171B0"/>
    <w:rsid w:val="00C21875"/>
    <w:rsid w:val="00C22F22"/>
    <w:rsid w:val="00C24F7A"/>
    <w:rsid w:val="00C25E72"/>
    <w:rsid w:val="00C2616D"/>
    <w:rsid w:val="00C34350"/>
    <w:rsid w:val="00C34A98"/>
    <w:rsid w:val="00C44EBE"/>
    <w:rsid w:val="00C61133"/>
    <w:rsid w:val="00C6717F"/>
    <w:rsid w:val="00C67FA4"/>
    <w:rsid w:val="00C728C9"/>
    <w:rsid w:val="00C7447B"/>
    <w:rsid w:val="00C86B92"/>
    <w:rsid w:val="00C878B6"/>
    <w:rsid w:val="00C91E8C"/>
    <w:rsid w:val="00CA0D1D"/>
    <w:rsid w:val="00CA0F5C"/>
    <w:rsid w:val="00CA11FB"/>
    <w:rsid w:val="00CA38F6"/>
    <w:rsid w:val="00CA53BE"/>
    <w:rsid w:val="00CA5ECF"/>
    <w:rsid w:val="00CB4BD1"/>
    <w:rsid w:val="00CC357D"/>
    <w:rsid w:val="00CC5360"/>
    <w:rsid w:val="00CD20F5"/>
    <w:rsid w:val="00CD5A1D"/>
    <w:rsid w:val="00CD624D"/>
    <w:rsid w:val="00CD7D3A"/>
    <w:rsid w:val="00CE5B60"/>
    <w:rsid w:val="00CE7C0E"/>
    <w:rsid w:val="00D04084"/>
    <w:rsid w:val="00D10D12"/>
    <w:rsid w:val="00D12AB6"/>
    <w:rsid w:val="00D1489A"/>
    <w:rsid w:val="00D1553B"/>
    <w:rsid w:val="00D21584"/>
    <w:rsid w:val="00D30438"/>
    <w:rsid w:val="00D43C08"/>
    <w:rsid w:val="00D44942"/>
    <w:rsid w:val="00D52150"/>
    <w:rsid w:val="00D60D65"/>
    <w:rsid w:val="00D612ED"/>
    <w:rsid w:val="00D7348A"/>
    <w:rsid w:val="00D74AB4"/>
    <w:rsid w:val="00D816E1"/>
    <w:rsid w:val="00D85A0D"/>
    <w:rsid w:val="00D87E15"/>
    <w:rsid w:val="00D9032F"/>
    <w:rsid w:val="00D95B2F"/>
    <w:rsid w:val="00D97501"/>
    <w:rsid w:val="00DB0BCC"/>
    <w:rsid w:val="00DB611B"/>
    <w:rsid w:val="00DC32A2"/>
    <w:rsid w:val="00DC640E"/>
    <w:rsid w:val="00DD2C85"/>
    <w:rsid w:val="00DD3C3F"/>
    <w:rsid w:val="00DE26F9"/>
    <w:rsid w:val="00DE4964"/>
    <w:rsid w:val="00DE7DA2"/>
    <w:rsid w:val="00DF134C"/>
    <w:rsid w:val="00DF2059"/>
    <w:rsid w:val="00DF2251"/>
    <w:rsid w:val="00DF3FE2"/>
    <w:rsid w:val="00DF7EE2"/>
    <w:rsid w:val="00E02B7B"/>
    <w:rsid w:val="00E02E05"/>
    <w:rsid w:val="00E03F5D"/>
    <w:rsid w:val="00E07EBE"/>
    <w:rsid w:val="00E10108"/>
    <w:rsid w:val="00E1298E"/>
    <w:rsid w:val="00E22C65"/>
    <w:rsid w:val="00E23382"/>
    <w:rsid w:val="00E2567C"/>
    <w:rsid w:val="00E2786E"/>
    <w:rsid w:val="00E30532"/>
    <w:rsid w:val="00E3476E"/>
    <w:rsid w:val="00E35904"/>
    <w:rsid w:val="00E36B9A"/>
    <w:rsid w:val="00E36F60"/>
    <w:rsid w:val="00E412DD"/>
    <w:rsid w:val="00E412F4"/>
    <w:rsid w:val="00E510CE"/>
    <w:rsid w:val="00E5371D"/>
    <w:rsid w:val="00E55AF8"/>
    <w:rsid w:val="00E60FBA"/>
    <w:rsid w:val="00E62AC6"/>
    <w:rsid w:val="00E71B01"/>
    <w:rsid w:val="00E81C8D"/>
    <w:rsid w:val="00E86CEC"/>
    <w:rsid w:val="00E87888"/>
    <w:rsid w:val="00E90A5E"/>
    <w:rsid w:val="00E94FD6"/>
    <w:rsid w:val="00E97AB2"/>
    <w:rsid w:val="00E97CAB"/>
    <w:rsid w:val="00EA611C"/>
    <w:rsid w:val="00EC4251"/>
    <w:rsid w:val="00ED3F49"/>
    <w:rsid w:val="00ED3F61"/>
    <w:rsid w:val="00EE78AF"/>
    <w:rsid w:val="00EF3C7B"/>
    <w:rsid w:val="00EF7D6D"/>
    <w:rsid w:val="00EF7DA4"/>
    <w:rsid w:val="00F02F36"/>
    <w:rsid w:val="00F02F39"/>
    <w:rsid w:val="00F04131"/>
    <w:rsid w:val="00F066E7"/>
    <w:rsid w:val="00F06A6F"/>
    <w:rsid w:val="00F252A0"/>
    <w:rsid w:val="00F35606"/>
    <w:rsid w:val="00F45931"/>
    <w:rsid w:val="00F50858"/>
    <w:rsid w:val="00F50DDA"/>
    <w:rsid w:val="00F50DE4"/>
    <w:rsid w:val="00F519D9"/>
    <w:rsid w:val="00F52909"/>
    <w:rsid w:val="00F614AE"/>
    <w:rsid w:val="00F61D98"/>
    <w:rsid w:val="00F64DE1"/>
    <w:rsid w:val="00F651AA"/>
    <w:rsid w:val="00F764DC"/>
    <w:rsid w:val="00F803E3"/>
    <w:rsid w:val="00F86178"/>
    <w:rsid w:val="00F90F8A"/>
    <w:rsid w:val="00F91013"/>
    <w:rsid w:val="00F91319"/>
    <w:rsid w:val="00F94E11"/>
    <w:rsid w:val="00F9727D"/>
    <w:rsid w:val="00FA7A38"/>
    <w:rsid w:val="00FB0958"/>
    <w:rsid w:val="00FB2154"/>
    <w:rsid w:val="00FB6780"/>
    <w:rsid w:val="00FD3BDC"/>
    <w:rsid w:val="00FD543E"/>
    <w:rsid w:val="00FD6B6A"/>
    <w:rsid w:val="00FE5124"/>
    <w:rsid w:val="00FF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rkansasmba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enacyt.gob.pa/imagenes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C5B0D-CE44-4B41-BAF2-CE0A4F0C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1221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7925</CharactersWithSpaces>
  <SharedDoc>false</SharedDoc>
  <HLinks>
    <vt:vector size="24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mailto:becasmaestria2010@senacyt.gob.pa</vt:lpwstr>
      </vt:variant>
      <vt:variant>
        <vt:lpwstr/>
      </vt:variant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mailto:becasmaestria2010@senacyt.gob.pa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3735662</vt:i4>
      </vt:variant>
      <vt:variant>
        <vt:i4>-1</vt:i4>
      </vt:variant>
      <vt:variant>
        <vt:i4>44033</vt:i4>
      </vt:variant>
      <vt:variant>
        <vt:i4>1</vt:i4>
      </vt:variant>
      <vt:variant>
        <vt:lpwstr>http://www.senacyt.gob.pa/imagenes/logo.jpg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ldawkins</cp:lastModifiedBy>
  <cp:revision>7</cp:revision>
  <cp:lastPrinted>2012-06-05T19:48:00Z</cp:lastPrinted>
  <dcterms:created xsi:type="dcterms:W3CDTF">2014-03-24T20:26:00Z</dcterms:created>
  <dcterms:modified xsi:type="dcterms:W3CDTF">2014-07-21T15:49:00Z</dcterms:modified>
</cp:coreProperties>
</file>