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15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5"/>
      </w:tblGrid>
      <w:tr w:rsidR="00261367" w:rsidRPr="003D25E7" w14:paraId="23F311E0" w14:textId="77777777" w:rsidTr="00A0508A">
        <w:trPr>
          <w:trHeight w:val="647"/>
        </w:trPr>
        <w:tc>
          <w:tcPr>
            <w:tcW w:w="109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1155A247" w14:textId="77777777" w:rsidR="00261367" w:rsidRPr="00627226" w:rsidRDefault="00261367" w:rsidP="00261367">
            <w:pPr>
              <w:ind w:right="-108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627226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ANUNCIO DE CONVOCATORIA PÚBLICA</w:t>
            </w:r>
          </w:p>
          <w:p w14:paraId="1D3F3A1D" w14:textId="77777777" w:rsidR="00261367" w:rsidRPr="00627226" w:rsidRDefault="00261367" w:rsidP="00261367">
            <w:pPr>
              <w:ind w:right="-108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627226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PROGRAMA DE FOMENTO A LA INNOVACIÓN EN EL APRENDIZAJE DE LAS CIENCIAS</w:t>
            </w:r>
          </w:p>
          <w:p w14:paraId="1DA5267B" w14:textId="77777777" w:rsidR="00DB2C08" w:rsidRPr="005E3283" w:rsidRDefault="00DB2C08" w:rsidP="00DB2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b/>
                <w:sz w:val="16"/>
                <w:szCs w:val="16"/>
              </w:rPr>
            </w:pPr>
            <w:bookmarkStart w:id="0" w:name="OLE_LINK1"/>
            <w:bookmarkStart w:id="1" w:name="OLE_LINK2"/>
            <w:r w:rsidRPr="005E3283">
              <w:rPr>
                <w:b/>
                <w:sz w:val="16"/>
                <w:szCs w:val="16"/>
                <w:lang w:val="es-PA"/>
              </w:rPr>
              <w:t>CONVOCATORIA PÚBLICA DEL</w:t>
            </w:r>
            <w:r w:rsidRPr="005E3283">
              <w:rPr>
                <w:b/>
                <w:sz w:val="16"/>
                <w:szCs w:val="16"/>
              </w:rPr>
              <w:t xml:space="preserve"> PROGRAMA PARA FOMENTO DE LA INNOVACIÓN EN EL APRENDIZAJE DE CIENCIAS AÑO 2016</w:t>
            </w:r>
          </w:p>
          <w:p w14:paraId="63C1FC25" w14:textId="77777777" w:rsidR="00261367" w:rsidRPr="003D25E7" w:rsidRDefault="00DB2C08" w:rsidP="00DB2C08">
            <w:pPr>
              <w:ind w:left="-108" w:right="-108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0508A">
              <w:rPr>
                <w:rFonts w:asciiTheme="minorHAnsi" w:hAnsiTheme="minorHAnsi" w:cs="Arial"/>
                <w:color w:val="FFFFFF" w:themeColor="background1"/>
                <w:sz w:val="18"/>
                <w:szCs w:val="18"/>
                <w:shd w:val="clear" w:color="auto" w:fill="17365D" w:themeFill="text2" w:themeFillShade="BF"/>
              </w:rPr>
              <w:t xml:space="preserve"> </w:t>
            </w:r>
            <w:r w:rsidR="00261367" w:rsidRPr="00A0508A">
              <w:rPr>
                <w:rFonts w:asciiTheme="minorHAnsi" w:hAnsiTheme="minorHAnsi" w:cs="Arial"/>
                <w:color w:val="FFFFFF" w:themeColor="background1"/>
                <w:sz w:val="18"/>
                <w:szCs w:val="18"/>
                <w:shd w:val="clear" w:color="auto" w:fill="17365D" w:themeFill="text2" w:themeFillShade="BF"/>
              </w:rPr>
              <w:t>(</w:t>
            </w:r>
            <w:r w:rsidR="00261367" w:rsidRPr="00A0508A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shd w:val="clear" w:color="auto" w:fill="17365D" w:themeFill="text2" w:themeFillShade="BF"/>
              </w:rPr>
              <w:t>Resol</w:t>
            </w:r>
            <w:r w:rsidR="0057359C" w:rsidRPr="00A0508A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shd w:val="clear" w:color="auto" w:fill="17365D" w:themeFill="text2" w:themeFillShade="BF"/>
              </w:rPr>
              <w:t xml:space="preserve">ución </w:t>
            </w:r>
            <w:r w:rsidR="00261367" w:rsidRPr="00A0508A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shd w:val="clear" w:color="auto" w:fill="17365D" w:themeFill="text2" w:themeFillShade="BF"/>
              </w:rPr>
              <w:t>No. 056 del 22 de marzo de 2010, por medio de la cual se adopta el Reglamento Interno para las Contrataciones por Mérito)</w:t>
            </w:r>
            <w:bookmarkEnd w:id="0"/>
            <w:bookmarkEnd w:id="1"/>
          </w:p>
        </w:tc>
      </w:tr>
      <w:tr w:rsidR="00261367" w:rsidRPr="00804FCA" w14:paraId="3A1414D8" w14:textId="77777777" w:rsidTr="00261367">
        <w:trPr>
          <w:trHeight w:val="445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19092" w14:textId="77777777" w:rsidR="00261367" w:rsidRPr="005F46B5" w:rsidRDefault="00261367" w:rsidP="006A4087">
            <w:pPr>
              <w:spacing w:before="120" w:after="120"/>
              <w:contextualSpacing/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DIRIGIDA A: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Personas naturales</w:t>
            </w:r>
            <w:r w:rsidR="00F86136">
              <w:rPr>
                <w:rFonts w:asciiTheme="minorHAnsi" w:hAnsiTheme="minorHAnsi" w:cs="Arial"/>
                <w:sz w:val="14"/>
                <w:szCs w:val="14"/>
              </w:rPr>
              <w:t xml:space="preserve"> panameñas o extranjeras residentes en Panamá,</w:t>
            </w:r>
            <w:r w:rsidR="00B53E7B" w:rsidRPr="005F46B5">
              <w:rPr>
                <w:rFonts w:asciiTheme="minorHAnsi" w:hAnsiTheme="minorHAnsi" w:cs="Arial"/>
                <w:sz w:val="14"/>
                <w:szCs w:val="14"/>
              </w:rPr>
              <w:t xml:space="preserve"> o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jurídicas</w:t>
            </w:r>
            <w:r w:rsidR="00B53E7B" w:rsidRPr="005F46B5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86136">
              <w:rPr>
                <w:rFonts w:asciiTheme="minorHAnsi" w:hAnsiTheme="minorHAnsi" w:cs="Arial"/>
                <w:sz w:val="14"/>
                <w:szCs w:val="14"/>
              </w:rPr>
              <w:t>panameñas inscritas en el Registro Público de Panamá, que pueden actuar de forma individual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o afiliados a entidades públicas, </w:t>
            </w:r>
            <w:r w:rsidR="00B53E7B" w:rsidRPr="005F46B5">
              <w:rPr>
                <w:rFonts w:asciiTheme="minorHAnsi" w:hAnsiTheme="minorHAnsi" w:cs="Arial"/>
                <w:sz w:val="14"/>
                <w:szCs w:val="14"/>
              </w:rPr>
              <w:t>instituciones académicas, públicas o privadas,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B53E7B" w:rsidRPr="005F46B5">
              <w:rPr>
                <w:rFonts w:asciiTheme="minorHAnsi" w:hAnsiTheme="minorHAnsi" w:cs="Arial"/>
                <w:sz w:val="14"/>
                <w:szCs w:val="14"/>
              </w:rPr>
              <w:t xml:space="preserve">empresas privadas, 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>escuelas técnicas, organizaciones no gubernamentale</w:t>
            </w:r>
            <w:r w:rsidR="00B53E7B" w:rsidRPr="005F46B5">
              <w:rPr>
                <w:rFonts w:asciiTheme="minorHAnsi" w:hAnsiTheme="minorHAnsi" w:cs="Arial"/>
                <w:sz w:val="14"/>
                <w:szCs w:val="14"/>
              </w:rPr>
              <w:t>s, centros de investigación públicos o privados y demás entidades con o sin fines de lucro.</w:t>
            </w:r>
          </w:p>
        </w:tc>
      </w:tr>
      <w:tr w:rsidR="00261367" w:rsidRPr="00804FCA" w14:paraId="090D37FF" w14:textId="77777777" w:rsidTr="00261367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07A36" w14:textId="77777777" w:rsidR="00261367" w:rsidRPr="005F46B5" w:rsidRDefault="00261367" w:rsidP="00261367">
            <w:pPr>
              <w:spacing w:before="120" w:after="120"/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OBJETIVO: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Generar innovaciones para la educación formal y no formal del país que propicien en los estudiantes una mejora en la actitud hacia las ciencias y eleven el nivel de comprensión del conocimiento científico que es base para la formación de los panameños, tal como lo establece la política educativa nacional.</w:t>
            </w:r>
          </w:p>
        </w:tc>
      </w:tr>
      <w:tr w:rsidR="00261367" w:rsidRPr="00804FCA" w14:paraId="6961B995" w14:textId="77777777" w:rsidTr="004A1124">
        <w:trPr>
          <w:trHeight w:val="1915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29E4F6" w14:textId="77777777" w:rsidR="00261367" w:rsidRPr="004A1124" w:rsidRDefault="00F477CD" w:rsidP="00261367">
            <w:pPr>
              <w:spacing w:before="120" w:after="120"/>
              <w:jc w:val="both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Categoría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 xml:space="preserve"> de aplicación </w:t>
            </w:r>
            <w:r w:rsidR="00BE5BC5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 xml:space="preserve"> (las áreas </w:t>
            </w:r>
            <w:r w:rsidR="005127B9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descritas</w:t>
            </w:r>
            <w:r w:rsidR="00BE5BC5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 xml:space="preserve"> serán evaluadas por categoría </w:t>
            </w:r>
            <w:r w:rsidR="005127B9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 xml:space="preserve">de evaluación 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separada</w:t>
            </w:r>
            <w:r w:rsidR="00F86136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s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)</w:t>
            </w:r>
          </w:p>
          <w:p w14:paraId="71419B77" w14:textId="77777777" w:rsidR="004A1124" w:rsidRPr="004A1124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/>
                <w:sz w:val="13"/>
                <w:szCs w:val="13"/>
                <w:lang w:val="es-ES_tradnl"/>
              </w:rPr>
            </w:pP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Diseño y prueba de al menos tres unidades didácticas que inc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>luyan simuladores de acceso</w:t>
            </w:r>
            <w:r w:rsidR="00316F28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libre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para enseñanza de ciencias </w:t>
            </w:r>
            <w:r w:rsidR="00316F28">
              <w:rPr>
                <w:rFonts w:asciiTheme="minorHAnsi" w:hAnsiTheme="minorHAnsi"/>
                <w:sz w:val="13"/>
                <w:szCs w:val="13"/>
                <w:lang w:val="es-ES_tradnl"/>
              </w:rPr>
              <w:t>que promuevan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la comprensión de conceptos y las prácticas científicas (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Subsidio económico 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hasta B/.8</w:t>
            </w:r>
            <w:r w:rsidR="006A4087"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, 000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)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>.</w:t>
            </w:r>
          </w:p>
          <w:p w14:paraId="7CF605DC" w14:textId="77777777" w:rsidR="004A1124" w:rsidRPr="004A1124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/>
                <w:sz w:val="13"/>
                <w:szCs w:val="13"/>
                <w:lang w:val="es-ES_tradnl"/>
              </w:rPr>
            </w:pP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Desarrollo de un proyecto educativo basado en un problema relacionado con el</w:t>
            </w:r>
            <w:r w:rsidRPr="004A1124">
              <w:rPr>
                <w:rFonts w:asciiTheme="minorHAnsi" w:hAnsiTheme="minorHAnsi"/>
                <w:color w:val="000000"/>
                <w:sz w:val="13"/>
                <w:szCs w:val="13"/>
                <w:lang w:val="es-ES_tradnl"/>
              </w:rPr>
              <w:t xml:space="preserve"> 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recurso hídrico y/o el cambio climático</w:t>
            </w:r>
            <w:r w:rsidR="00316F28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, </w:t>
            </w:r>
            <w:r w:rsidR="00316F28"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que promueva las conexiones entr</w:t>
            </w:r>
            <w:r w:rsidR="00316F28">
              <w:rPr>
                <w:rFonts w:asciiTheme="minorHAnsi" w:hAnsiTheme="minorHAnsi"/>
                <w:sz w:val="13"/>
                <w:szCs w:val="13"/>
                <w:lang w:val="es-ES_tradnl"/>
              </w:rPr>
              <w:t>e escuelas pre-medias o medias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(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 Subsidio económico 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hasta B/.5,000)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>.</w:t>
            </w:r>
          </w:p>
          <w:p w14:paraId="054BBCD7" w14:textId="77777777" w:rsidR="00E92166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/>
                <w:sz w:val="13"/>
                <w:szCs w:val="13"/>
                <w:lang w:val="es-ES_tradnl"/>
              </w:rPr>
            </w:pP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Desarrollo 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de 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aplicaciones tecnológicas que conecten escuelas con museos o sitios naturales y que promuevan la comprensión de conceptos y las prácticas cient</w:t>
            </w:r>
            <w:r w:rsidR="006A4087">
              <w:rPr>
                <w:rFonts w:asciiTheme="minorHAnsi" w:hAnsiTheme="minorHAnsi"/>
                <w:sz w:val="13"/>
                <w:szCs w:val="13"/>
                <w:lang w:val="es-ES_tradnl"/>
              </w:rPr>
              <w:t>íficas (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 xml:space="preserve">Subsidio económico 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hasta B/.30</w:t>
            </w:r>
            <w:r w:rsidR="006A4087"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, 000</w:t>
            </w:r>
            <w:r w:rsidRPr="004A1124">
              <w:rPr>
                <w:rFonts w:asciiTheme="minorHAnsi" w:hAnsiTheme="minorHAnsi"/>
                <w:sz w:val="13"/>
                <w:szCs w:val="13"/>
                <w:lang w:val="es-ES_tradnl"/>
              </w:rPr>
              <w:t>)</w:t>
            </w:r>
            <w:r w:rsidR="00F86136">
              <w:rPr>
                <w:rFonts w:asciiTheme="minorHAnsi" w:hAnsiTheme="minorHAnsi"/>
                <w:sz w:val="13"/>
                <w:szCs w:val="13"/>
                <w:lang w:val="es-ES_tradnl"/>
              </w:rPr>
              <w:t>.</w:t>
            </w:r>
          </w:p>
          <w:p w14:paraId="45983795" w14:textId="77777777" w:rsidR="004A1124" w:rsidRPr="00396B81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3"/>
                <w:szCs w:val="13"/>
                <w:lang w:val="es-ES_tradnl"/>
              </w:rPr>
            </w:pP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Desarrollo de aplicaciones digitales que promuevan una educación inclusiva y</w:t>
            </w:r>
            <w:r w:rsidR="00941C6D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/o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 faciliten el acceso al aprendizaje </w:t>
            </w:r>
            <w:r w:rsidR="006A4087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(Subsidio</w:t>
            </w:r>
            <w:r w:rsidR="00F86136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 económico 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hasta B/.30</w:t>
            </w:r>
            <w:r w:rsidR="006A4087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, 000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)</w:t>
            </w:r>
            <w:r w:rsidR="00F86136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.</w:t>
            </w:r>
          </w:p>
          <w:p w14:paraId="7B9920CC" w14:textId="77777777" w:rsidR="004A1124" w:rsidRPr="00396B81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</w:pP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Análisis de resultados del TERCE, ej</w:t>
            </w:r>
            <w:r w:rsidR="00316F28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.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: comparación TERCE y SERCE usando reactivos ancla, análisis de factores asociados, estudio de escuelas públicas que estén sobre la media nacional para identificar buenas prácticas, etc. </w:t>
            </w:r>
            <w:r w:rsidR="006A4087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(Subsidio</w:t>
            </w:r>
            <w:r w:rsidR="00F86136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 económico 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hasta B/.30</w:t>
            </w:r>
            <w:r w:rsidR="006A4087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, 000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)</w:t>
            </w:r>
            <w:r w:rsidR="00F86136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. Las propuestas presentadas en esta categoría deberán tener una carta de autorización de la Dirección Nacional de Evaluación del Ministerio de Educación.</w:t>
            </w:r>
          </w:p>
          <w:p w14:paraId="3C8C31DD" w14:textId="77777777" w:rsidR="00261367" w:rsidRPr="00316F28" w:rsidRDefault="004A1124" w:rsidP="007673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/>
                <w:sz w:val="13"/>
                <w:szCs w:val="13"/>
                <w:lang w:val="es-ES_tradnl"/>
              </w:rPr>
            </w:pP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Desarrollo de proyectos con pedagogías culturalmente relevantes para el aprendizaje de matemáticas, ciencias y tecnología en poblaciones indígenas (</w:t>
            </w:r>
            <w:r w:rsidR="00F86136"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 Subsidio económico </w:t>
            </w:r>
            <w:r w:rsidRPr="00396B81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hasta B/.30,000)</w:t>
            </w:r>
          </w:p>
        </w:tc>
      </w:tr>
      <w:tr w:rsidR="00261367" w:rsidRPr="00804FCA" w14:paraId="1EA53FD7" w14:textId="77777777" w:rsidTr="00261367">
        <w:trPr>
          <w:trHeight w:val="372"/>
        </w:trPr>
        <w:tc>
          <w:tcPr>
            <w:tcW w:w="109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98236" w14:textId="77777777" w:rsidR="00261367" w:rsidRPr="005F46B5" w:rsidRDefault="00261367" w:rsidP="00261367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DEFINICIÓN DE INNOVACIÓN: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Un nuevo, o significativamente mejorado, producto, proceso o servicio con potencial para generar resultad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>os positivos en los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procesos de aprendizaje y/o enseñanza. </w:t>
            </w:r>
          </w:p>
        </w:tc>
      </w:tr>
      <w:tr w:rsidR="00261367" w:rsidRPr="00804FCA" w14:paraId="47DEB40A" w14:textId="77777777" w:rsidTr="00261367">
        <w:trPr>
          <w:trHeight w:val="406"/>
        </w:trPr>
        <w:tc>
          <w:tcPr>
            <w:tcW w:w="109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ED600" w14:textId="77777777" w:rsidR="00261367" w:rsidRPr="005F46B5" w:rsidRDefault="00261367" w:rsidP="00261367">
            <w:pPr>
              <w:spacing w:before="120"/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  <w:lang w:eastAsia="es-ES"/>
              </w:rPr>
              <w:t>DURACIÓN:</w:t>
            </w:r>
            <w:r w:rsidRPr="005F46B5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 Los proyectos adjudicados podrán tener una duración de hasta dos (2) años.</w:t>
            </w:r>
          </w:p>
          <w:p w14:paraId="36B48F00" w14:textId="77777777" w:rsidR="00261367" w:rsidRPr="005F46B5" w:rsidRDefault="00261367" w:rsidP="00261367">
            <w:pPr>
              <w:spacing w:before="120"/>
              <w:jc w:val="both"/>
              <w:rPr>
                <w:rFonts w:asciiTheme="minorHAnsi" w:hAnsiTheme="minorHAnsi" w:cs="Arial"/>
                <w:sz w:val="14"/>
                <w:szCs w:val="14"/>
                <w:lang w:eastAsia="es-ES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MONTOS: </w:t>
            </w:r>
            <w:r w:rsidRPr="00E33E61">
              <w:rPr>
                <w:rFonts w:asciiTheme="minorHAnsi" w:hAnsiTheme="minorHAnsi" w:cs="Arial"/>
                <w:sz w:val="14"/>
                <w:szCs w:val="14"/>
              </w:rPr>
              <w:t xml:space="preserve">Hasta </w:t>
            </w:r>
            <w:r w:rsidRPr="00E33E61">
              <w:rPr>
                <w:rFonts w:asciiTheme="minorHAnsi" w:hAnsiTheme="minorHAnsi" w:cs="Arial"/>
                <w:sz w:val="14"/>
                <w:szCs w:val="14"/>
                <w:lang w:val="es-AR"/>
              </w:rPr>
              <w:t>B/.</w:t>
            </w:r>
            <w:r w:rsidR="004A1124" w:rsidRPr="00E33E61">
              <w:rPr>
                <w:rFonts w:asciiTheme="minorHAnsi" w:hAnsiTheme="minorHAnsi" w:cs="Arial"/>
                <w:sz w:val="14"/>
                <w:szCs w:val="14"/>
                <w:lang w:val="es-AR"/>
              </w:rPr>
              <w:t>30</w:t>
            </w:r>
            <w:r w:rsidRPr="00E33E61">
              <w:rPr>
                <w:rFonts w:asciiTheme="minorHAnsi" w:hAnsiTheme="minorHAnsi" w:cs="Arial"/>
                <w:sz w:val="14"/>
                <w:szCs w:val="14"/>
                <w:lang w:val="es-AR"/>
              </w:rPr>
              <w:t>,000.00</w:t>
            </w:r>
            <w:r w:rsidR="00F86136" w:rsidRPr="00E33E61">
              <w:rPr>
                <w:rFonts w:asciiTheme="minorHAnsi" w:hAnsiTheme="minorHAnsi" w:cs="Arial"/>
                <w:sz w:val="14"/>
                <w:szCs w:val="14"/>
                <w:lang w:val="es-AR"/>
              </w:rPr>
              <w:t>,</w:t>
            </w:r>
            <w:r w:rsidR="00F86136" w:rsidRPr="00E33E61">
              <w:rPr>
                <w:rFonts w:asciiTheme="minorHAnsi" w:hAnsiTheme="minorHAnsi"/>
                <w:sz w:val="14"/>
                <w:szCs w:val="14"/>
                <w:lang w:val="es-ES_tradnl"/>
              </w:rPr>
              <w:t xml:space="preserve"> según el subsidio económico máximo establecido por área temática.</w:t>
            </w:r>
            <w:r w:rsidR="007673F6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 </w:t>
            </w:r>
            <w:r w:rsidR="00F86136">
              <w:rPr>
                <w:rFonts w:asciiTheme="minorHAnsi" w:hAnsiTheme="minorHAnsi" w:cs="Arial"/>
                <w:sz w:val="14"/>
                <w:szCs w:val="14"/>
                <w:lang w:eastAsia="es-ES"/>
              </w:rPr>
              <w:t>La SENACYT otorgará los subsidios</w:t>
            </w:r>
            <w:r w:rsidR="002A1248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 económicos</w:t>
            </w:r>
            <w:r w:rsidRPr="005F46B5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 de hasta el 100% del costo total del proyecto según las necesida</w:t>
            </w:r>
            <w:r w:rsidR="00DB419F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des plenamente justificadas en el </w:t>
            </w:r>
            <w:r w:rsidRPr="005F46B5">
              <w:rPr>
                <w:rFonts w:asciiTheme="minorHAnsi" w:hAnsiTheme="minorHAnsi" w:cs="Arial"/>
                <w:sz w:val="14"/>
                <w:szCs w:val="14"/>
                <w:lang w:eastAsia="es-ES"/>
              </w:rPr>
              <w:t xml:space="preserve">mismo.  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AR"/>
              </w:rPr>
              <w:t>Es responsabilidad de los proponentes sustentar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AR"/>
              </w:rPr>
              <w:t>,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AR"/>
              </w:rPr>
              <w:t xml:space="preserve"> a satisfacción de los evaluadores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AR"/>
              </w:rPr>
              <w:t>,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AR"/>
              </w:rPr>
              <w:t xml:space="preserve"> los méritos de innovación, calidad, originalidad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e impacto de la propuesta, así como la carencia de recursos que justifique la solicitud de fondos.  </w:t>
            </w:r>
          </w:p>
        </w:tc>
      </w:tr>
      <w:tr w:rsidR="00261367" w:rsidRPr="00804FCA" w14:paraId="335C32E0" w14:textId="77777777" w:rsidTr="00A0508A">
        <w:trPr>
          <w:trHeight w:val="289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</w:tcPr>
          <w:p w14:paraId="45ADB096" w14:textId="77777777" w:rsidR="00261367" w:rsidRPr="005F46B5" w:rsidRDefault="00261367" w:rsidP="00261367">
            <w:pPr>
              <w:widowControl w:val="0"/>
              <w:spacing w:before="120" w:after="120"/>
              <w:jc w:val="center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CRITERIOS,  TÉRMINOS ADICIONALES Y REQUISITOS</w:t>
            </w:r>
          </w:p>
        </w:tc>
      </w:tr>
      <w:tr w:rsidR="00261367" w:rsidRPr="00804FCA" w14:paraId="33D2081E" w14:textId="77777777" w:rsidTr="00DB419F">
        <w:trPr>
          <w:trHeight w:val="4194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1880AE" w14:textId="77777777" w:rsidR="00261367" w:rsidRPr="005F46B5" w:rsidRDefault="00261367" w:rsidP="00261367">
            <w:pPr>
              <w:spacing w:before="120"/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CRITERIOS DE SELECCIÓN: </w:t>
            </w:r>
            <w:bookmarkStart w:id="2" w:name="OLE_LINK5"/>
            <w:bookmarkStart w:id="3" w:name="OLE_LINK6"/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El objetivo principal  de selección 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del proyecto 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debe ser el carácter de innovación pedagógica y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la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calidad técnica de la propuesta. Es la intención de este programa seleccionar trabajos con claro sustento pedagógico y potencial de viabilidad 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>para aplicar o lograr impacto en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sus resultados.</w:t>
            </w:r>
          </w:p>
          <w:p w14:paraId="0E0D9417" w14:textId="77777777" w:rsidR="00261367" w:rsidRPr="005F46B5" w:rsidRDefault="00261367" w:rsidP="00261367">
            <w:pPr>
              <w:jc w:val="both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CRITERIOS PRINCIPALES A CONSIDERAR PARA LA SELECCIÓN: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Las Propuestas debe</w:t>
            </w:r>
            <w:r w:rsidR="00C53A2C"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n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ser consistente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>s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con los objetivos de la Convocatoria y ubicarse en un</w:t>
            </w:r>
            <w:r w:rsidR="00647955"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a de las áreas temáticas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establecidas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. Las propuestas deben conjugar los siguientes criterios para la selección:</w:t>
            </w:r>
          </w:p>
          <w:p w14:paraId="39F6FA04" w14:textId="77777777" w:rsidR="00261367" w:rsidRPr="005F46B5" w:rsidRDefault="00261367" w:rsidP="00261367">
            <w:pPr>
              <w:jc w:val="both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a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) 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>Calidad Pedagógica y Técnica.</w:t>
            </w:r>
          </w:p>
          <w:p w14:paraId="52E2461E" w14:textId="77777777" w:rsidR="00261367" w:rsidRPr="005F46B5" w:rsidRDefault="00261367" w:rsidP="00261367">
            <w:pPr>
              <w:jc w:val="both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b) </w:t>
            </w:r>
            <w:r w:rsidR="00DB419F">
              <w:rPr>
                <w:rFonts w:asciiTheme="minorHAnsi" w:hAnsiTheme="minorHAnsi" w:cs="Arial"/>
                <w:sz w:val="14"/>
                <w:szCs w:val="14"/>
                <w:lang w:val="es-PA"/>
              </w:rPr>
              <w:t>A</w:t>
            </w:r>
            <w:r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plicabilidad y potencial de impacto para el país en el ámbito educativo y /o en el Aprendizaje de las ciencias. </w:t>
            </w:r>
          </w:p>
          <w:p w14:paraId="4DA8BE7F" w14:textId="77777777" w:rsidR="00261367" w:rsidRPr="005F46B5" w:rsidRDefault="00DB419F" w:rsidP="00261367">
            <w:pPr>
              <w:jc w:val="both"/>
              <w:rPr>
                <w:rFonts w:asciiTheme="minorHAnsi" w:hAnsiTheme="minorHAnsi" w:cs="Arial"/>
                <w:sz w:val="14"/>
                <w:szCs w:val="14"/>
                <w:lang w:val="es-PA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PA"/>
              </w:rPr>
              <w:t>c) Originalidad</w:t>
            </w:r>
            <w:r w:rsidR="00261367" w:rsidRPr="005F46B5">
              <w:rPr>
                <w:rFonts w:asciiTheme="minorHAnsi" w:hAnsiTheme="minorHAnsi" w:cs="Arial"/>
                <w:sz w:val="14"/>
                <w:szCs w:val="14"/>
                <w:lang w:val="es-PA"/>
              </w:rPr>
              <w:t xml:space="preserve"> en el ámbito educativo de las ciencias. </w:t>
            </w:r>
          </w:p>
          <w:p w14:paraId="5DA0E08E" w14:textId="77777777" w:rsidR="00261367" w:rsidRPr="005F46B5" w:rsidRDefault="00261367" w:rsidP="00261367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>TÉR</w:t>
            </w:r>
            <w:r w:rsidRPr="005F46B5" w:rsidDel="001417CD">
              <w:rPr>
                <w:rFonts w:asciiTheme="minorHAnsi" w:hAnsiTheme="minorHAnsi" w:cs="Arial"/>
                <w:b/>
                <w:sz w:val="14"/>
                <w:szCs w:val="14"/>
                <w:lang w:val="es-PA"/>
              </w:rPr>
              <w:t xml:space="preserve">MINOS ADICIONALES: </w:t>
            </w:r>
            <w:bookmarkEnd w:id="2"/>
            <w:bookmarkEnd w:id="3"/>
          </w:p>
          <w:p w14:paraId="7FD3A04B" w14:textId="77777777" w:rsidR="0022091E" w:rsidRPr="005F46B5" w:rsidRDefault="0022091E" w:rsidP="00DB419F">
            <w:pPr>
              <w:pStyle w:val="ListParagraph"/>
              <w:numPr>
                <w:ilvl w:val="0"/>
                <w:numId w:val="5"/>
              </w:numPr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5F46B5"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  <w:t>Coherencia entre el objetivo de la propuesta y los recursos humanos y materiales propuestos.</w:t>
            </w:r>
          </w:p>
          <w:p w14:paraId="74B94EFC" w14:textId="77777777" w:rsidR="00F16286" w:rsidRPr="006E1E85" w:rsidRDefault="0022091E" w:rsidP="00DB419F">
            <w:pPr>
              <w:pStyle w:val="ListParagraph"/>
              <w:numPr>
                <w:ilvl w:val="0"/>
                <w:numId w:val="5"/>
              </w:numPr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5F46B5"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  <w:t>Consistencia con l</w:t>
            </w:r>
            <w:r w:rsidR="00671746"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  <w:t>as categorías anunciadas</w:t>
            </w:r>
            <w:r w:rsidRPr="005F46B5"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  <w:t xml:space="preserve"> en la Convocatoria.</w:t>
            </w:r>
          </w:p>
          <w:p w14:paraId="04180F90" w14:textId="77777777" w:rsidR="0022091E" w:rsidRPr="005F46B5" w:rsidRDefault="0022091E" w:rsidP="00DB419F">
            <w:pPr>
              <w:pStyle w:val="ListParagraph"/>
              <w:numPr>
                <w:ilvl w:val="0"/>
                <w:numId w:val="5"/>
              </w:numPr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5F46B5"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</w:rPr>
              <w:t>Ser propuestas innovadoras, es decir que aporten  algo de valor distinto a lo existente.</w:t>
            </w:r>
          </w:p>
          <w:p w14:paraId="2A19BE16" w14:textId="77777777" w:rsidR="0022091E" w:rsidRDefault="00261367" w:rsidP="00DB41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Aquellas propuestas que </w:t>
            </w:r>
            <w:r w:rsidR="001A25D0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i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ncluyen intervenciones en el sistema educativo formal</w:t>
            </w:r>
            <w:r w:rsidR="006E1E8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o que involucren análisis de resultados de evaluaciones internacionales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, deberán aportar notas de apoy</w:t>
            </w:r>
            <w:r w:rsidR="00316F2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o de las autoridades educativas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cuyos permisos sean requeridos.</w:t>
            </w:r>
          </w:p>
          <w:p w14:paraId="389E235D" w14:textId="77777777" w:rsidR="00316F28" w:rsidRDefault="00316F28" w:rsidP="00DB41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Las unidades didácticas que incluyan simuladores podrán ser publicadas en la página web de SENACYT para beneficio de mayor número de estudiantes.</w:t>
            </w:r>
          </w:p>
          <w:p w14:paraId="25BF8AAB" w14:textId="77777777" w:rsidR="002A1248" w:rsidRDefault="002A1248" w:rsidP="00DB41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Los descritos en los formularios de la presente convocatoria.</w:t>
            </w:r>
          </w:p>
          <w:p w14:paraId="40377A78" w14:textId="77777777" w:rsidR="00261367" w:rsidRPr="005F46B5" w:rsidRDefault="00261367" w:rsidP="00261367">
            <w:pPr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theme="minorHAnsi"/>
                <w:b/>
                <w:sz w:val="14"/>
                <w:szCs w:val="14"/>
                <w:lang w:val="es-PA"/>
              </w:rPr>
              <w:t>REQUISITOS:</w:t>
            </w:r>
          </w:p>
          <w:p w14:paraId="2B6217D9" w14:textId="77777777" w:rsidR="00261367" w:rsidRPr="005F46B5" w:rsidRDefault="00261367" w:rsidP="007673F6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Hoja de vida actualizada del </w:t>
            </w:r>
            <w:r w:rsidR="005F29B3"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proponente p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rincipal y demás colaboradores (máximo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3 páginas por currículo). Se debe indicar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el rol que desarrolla en el proyecto.</w:t>
            </w:r>
          </w:p>
          <w:p w14:paraId="6D39B9E5" w14:textId="77777777" w:rsidR="00261367" w:rsidRPr="005F46B5" w:rsidRDefault="00261367" w:rsidP="007673F6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Carta de presentación de la Institución o Centro de Investigación que ejecuta</w:t>
            </w:r>
            <w:r w:rsidR="00E27F0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rá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la propuesta y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/o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carta aval de los centros o grupos con los que se planifica desarrollar la propuesta.</w:t>
            </w:r>
          </w:p>
          <w:p w14:paraId="5A9D6CC4" w14:textId="77777777" w:rsidR="0063333F" w:rsidRPr="005F46B5" w:rsidRDefault="0063333F" w:rsidP="007673F6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Las personas naturales deberán presentar copia de cédula</w:t>
            </w:r>
            <w:r w:rsidR="00E33E61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para los panameños o del carné de residencia para los extranjeros residentes en Panamá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y las personas jurídicas deberán presentar copia de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l</w:t>
            </w:r>
            <w:r w:rsidRPr="005F46B5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certificado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del Registro Público de Panamá</w:t>
            </w:r>
            <w:r w:rsidR="00E27F0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,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</w:t>
            </w:r>
            <w:r w:rsidR="00E27F0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número de RUC, número de Digito Verificador, </w:t>
            </w:r>
            <w:r w:rsidR="00E33E61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así</w:t>
            </w:r>
            <w:r w:rsidR="002A124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como la copia de la cédula del representante legal.</w:t>
            </w:r>
          </w:p>
          <w:p w14:paraId="64628EAA" w14:textId="77777777" w:rsidR="00065D38" w:rsidRPr="00065D38" w:rsidRDefault="00065D38" w:rsidP="007673F6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Paz y Salvo de SENACYT</w:t>
            </w:r>
            <w:r w:rsidR="00987690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 xml:space="preserve"> (estará disponible con los documentos en la página web de las convocatorias)</w:t>
            </w:r>
            <w:r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.</w:t>
            </w:r>
          </w:p>
          <w:p w14:paraId="34080C71" w14:textId="77777777" w:rsidR="00261367" w:rsidRPr="00065D38" w:rsidRDefault="00065D38" w:rsidP="007673F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PA"/>
              </w:rPr>
            </w:pPr>
            <w:r w:rsidRPr="00065D38">
              <w:rPr>
                <w:rFonts w:asciiTheme="minorHAnsi" w:hAnsiTheme="minorHAnsi" w:cstheme="minorHAnsi"/>
                <w:sz w:val="14"/>
                <w:szCs w:val="14"/>
                <w:lang w:val="es-PA"/>
              </w:rPr>
              <w:t>Para participar en la Convocatoria, todos los proponentes deberán tener la capacidad legal y financiera requerida por las leyes de la República de Panamá, para participar en este tipo de actos públicos y cumplir con los requisitos exigidos por el Reglamento Interno de Contrataciones por Mérito de SENACYT (Resolución 056 de 22 de marzo de 2010).</w:t>
            </w:r>
            <w:r w:rsidR="00261367" w:rsidRPr="00065D38">
              <w:rPr>
                <w:rFonts w:asciiTheme="minorHAnsi" w:hAnsiTheme="minorHAnsi" w:cs="Arial"/>
                <w:sz w:val="14"/>
                <w:szCs w:val="14"/>
                <w:lang w:val="es-PA"/>
              </w:rPr>
              <w:tab/>
            </w:r>
          </w:p>
        </w:tc>
      </w:tr>
      <w:tr w:rsidR="00261367" w:rsidRPr="00804FCA" w14:paraId="3B8D01E0" w14:textId="77777777" w:rsidTr="00261367">
        <w:trPr>
          <w:trHeight w:val="287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</w:tcPr>
          <w:p w14:paraId="1B8E422A" w14:textId="77777777" w:rsidR="00261367" w:rsidRPr="005F46B5" w:rsidRDefault="00261367" w:rsidP="00261367">
            <w:pPr>
              <w:spacing w:before="120" w:after="120"/>
              <w:ind w:left="57"/>
              <w:jc w:val="center"/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FECHAS Y PLAZOS DE PRESENTACIÓN</w:t>
            </w:r>
          </w:p>
        </w:tc>
      </w:tr>
      <w:tr w:rsidR="00261367" w:rsidRPr="00804FCA" w14:paraId="07933003" w14:textId="77777777" w:rsidTr="005F46B5">
        <w:trPr>
          <w:trHeight w:val="340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B8DC631" w14:textId="77777777" w:rsidR="003D1A82" w:rsidRPr="005F46B5" w:rsidRDefault="00261367" w:rsidP="003D1A82">
            <w:pPr>
              <w:spacing w:before="120"/>
              <w:contextualSpacing/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FECHA DE APERTURA DE LA CONVOCATORIA:           </w:t>
            </w:r>
            <w:r w:rsidR="00C51782"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</w:t>
            </w: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="00441842">
              <w:rPr>
                <w:rFonts w:asciiTheme="minorHAnsi" w:hAnsiTheme="minorHAnsi" w:cs="Arial"/>
                <w:b/>
                <w:sz w:val="14"/>
                <w:szCs w:val="14"/>
              </w:rPr>
              <w:t>7 de diciembre</w:t>
            </w:r>
            <w:bookmarkStart w:id="4" w:name="_GoBack"/>
            <w:bookmarkEnd w:id="4"/>
            <w:r w:rsidR="004A1124">
              <w:rPr>
                <w:rFonts w:asciiTheme="minorHAnsi" w:hAnsiTheme="minorHAnsi" w:cs="Arial"/>
                <w:b/>
                <w:sz w:val="14"/>
                <w:szCs w:val="14"/>
              </w:rPr>
              <w:t xml:space="preserve"> de 2015</w:t>
            </w:r>
            <w:r w:rsidR="00B6339D">
              <w:rPr>
                <w:rFonts w:asciiTheme="minorHAnsi" w:hAnsiTheme="minorHAnsi" w:cs="Arial"/>
                <w:b/>
                <w:sz w:val="14"/>
                <w:szCs w:val="14"/>
              </w:rPr>
              <w:t>.</w:t>
            </w:r>
          </w:p>
          <w:p w14:paraId="78F91B24" w14:textId="77777777" w:rsidR="00261367" w:rsidRPr="005F46B5" w:rsidRDefault="00261367" w:rsidP="00065D38">
            <w:pPr>
              <w:spacing w:before="120"/>
              <w:contextualSpacing/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PLAZO PARA ENTREGA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</w:rPr>
              <w:t xml:space="preserve"> DE PROPUESTAS: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</w:rPr>
              <w:tab/>
              <w:t xml:space="preserve">             </w:t>
            </w:r>
            <w:r w:rsidR="004A1124">
              <w:rPr>
                <w:rFonts w:asciiTheme="minorHAnsi" w:hAnsiTheme="minorHAnsi" w:cs="Arial"/>
                <w:b/>
                <w:sz w:val="14"/>
                <w:szCs w:val="14"/>
              </w:rPr>
              <w:t>15 de</w:t>
            </w:r>
            <w:r w:rsidR="00316F28">
              <w:rPr>
                <w:rFonts w:asciiTheme="minorHAnsi" w:hAnsiTheme="minorHAnsi" w:cs="Arial"/>
                <w:b/>
                <w:sz w:val="14"/>
                <w:szCs w:val="14"/>
              </w:rPr>
              <w:t xml:space="preserve"> febrero</w:t>
            </w:r>
            <w:r w:rsidR="004A1124">
              <w:rPr>
                <w:rFonts w:asciiTheme="minorHAnsi" w:hAnsiTheme="minorHAnsi" w:cs="Arial"/>
                <w:b/>
                <w:sz w:val="14"/>
                <w:szCs w:val="14"/>
              </w:rPr>
              <w:t xml:space="preserve"> de 2016</w:t>
            </w:r>
            <w:r w:rsidR="00B444E6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(HASTA LAS 3:00 P.M., HORA EXACTA).</w:t>
            </w:r>
          </w:p>
        </w:tc>
      </w:tr>
      <w:tr w:rsidR="00261367" w:rsidRPr="00804FCA" w14:paraId="5211ED61" w14:textId="77777777" w:rsidTr="005F46B5">
        <w:trPr>
          <w:trHeight w:val="1081"/>
        </w:trPr>
        <w:tc>
          <w:tcPr>
            <w:tcW w:w="109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A5A75A" w14:textId="77777777" w:rsidR="00261367" w:rsidRPr="005F46B5" w:rsidRDefault="00261367" w:rsidP="00944EFE">
            <w:pPr>
              <w:spacing w:before="120" w:after="120"/>
              <w:jc w:val="both"/>
              <w:rPr>
                <w:rFonts w:asciiTheme="minorHAnsi" w:hAnsiTheme="minorHAnsi" w:cs="Arial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DOCUMENTACIÓN: 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>La documentación entregada deberá seguir las instrucciones y formatos establecidos en el Reglamento Interno de Contrataciones por Mérito y los formularios del Programa de Fomento a la Innovación en el Aprendizaje de las Ciencias.  Los criterios de selección, detalles e instrucciones sobre la naturaleza de</w:t>
            </w:r>
            <w:r w:rsidR="002A1248">
              <w:rPr>
                <w:rFonts w:asciiTheme="minorHAnsi" w:hAnsiTheme="minorHAnsi" w:cs="Arial"/>
                <w:sz w:val="14"/>
                <w:szCs w:val="14"/>
              </w:rPr>
              <w:t xml:space="preserve"> los subsidios económicos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las ayudas del Programa están descritos en el reglamento de este programa y disponibles en la página Web de la SENACYT (</w:t>
            </w:r>
            <w:hyperlink r:id="rId7" w:history="1">
              <w:r w:rsidRPr="005F46B5">
                <w:rPr>
                  <w:rStyle w:val="Hyperlink"/>
                  <w:rFonts w:asciiTheme="minorHAnsi" w:hAnsiTheme="minorHAnsi" w:cs="Arial"/>
                  <w:sz w:val="14"/>
                  <w:szCs w:val="14"/>
                </w:rPr>
                <w:t>www.senacyt.gob.pa</w:t>
              </w:r>
            </w:hyperlink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). </w:t>
            </w:r>
            <w:r w:rsidRPr="00944EFE">
              <w:rPr>
                <w:rFonts w:asciiTheme="minorHAnsi" w:hAnsiTheme="minorHAnsi" w:cs="Arial"/>
                <w:sz w:val="14"/>
                <w:szCs w:val="14"/>
                <w:u w:val="single"/>
              </w:rPr>
              <w:t>Las  propuestas deben ser entregadas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preferiblemente en formato electrónico, </w:t>
            </w:r>
            <w:r w:rsidRPr="00944EFE">
              <w:rPr>
                <w:rFonts w:asciiTheme="minorHAnsi" w:hAnsiTheme="minorHAnsi" w:cs="Arial"/>
                <w:sz w:val="14"/>
                <w:szCs w:val="14"/>
                <w:u w:val="single"/>
              </w:rPr>
              <w:t>a través de  la dirección</w:t>
            </w:r>
            <w:r w:rsidR="00E706E4">
              <w:rPr>
                <w:rFonts w:asciiTheme="minorHAnsi" w:hAnsiTheme="minorHAnsi" w:cs="Arial"/>
                <w:sz w:val="14"/>
                <w:szCs w:val="14"/>
                <w:u w:val="single"/>
              </w:rPr>
              <w:t>: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hyperlink r:id="rId8" w:history="1">
              <w:r w:rsidR="004A1124" w:rsidRPr="00A14076">
                <w:rPr>
                  <w:rStyle w:val="Hyperlink"/>
                  <w:rFonts w:asciiTheme="minorHAnsi" w:hAnsiTheme="minorHAnsi" w:cs="Arial"/>
                  <w:sz w:val="14"/>
                  <w:szCs w:val="14"/>
                </w:rPr>
                <w:t>aprendizaje2016@senacyt.gob.pa</w:t>
              </w:r>
            </w:hyperlink>
            <w:r w:rsidRPr="005F46B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>También pueden entregarse</w:t>
            </w:r>
            <w:r w:rsidR="00944EFE">
              <w:rPr>
                <w:rFonts w:asciiTheme="minorHAnsi" w:hAnsiTheme="minorHAnsi" w:cs="Arial"/>
                <w:sz w:val="14"/>
                <w:szCs w:val="14"/>
              </w:rPr>
              <w:t xml:space="preserve"> físicamente,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en discos compactos u otros dispositivos, en las o</w:t>
            </w:r>
            <w:r w:rsidR="004A1124">
              <w:rPr>
                <w:rFonts w:asciiTheme="minorHAnsi" w:hAnsiTheme="minorHAnsi" w:cs="Arial"/>
                <w:sz w:val="14"/>
                <w:szCs w:val="14"/>
              </w:rPr>
              <w:t>ficinas de SENACYT (Edificio 205</w:t>
            </w:r>
            <w:r w:rsidRPr="005F46B5">
              <w:rPr>
                <w:rFonts w:asciiTheme="minorHAnsi" w:hAnsiTheme="minorHAnsi" w:cs="Arial"/>
                <w:sz w:val="14"/>
                <w:szCs w:val="14"/>
              </w:rPr>
              <w:t xml:space="preserve"> de la Ciudad del Sa</w:t>
            </w:r>
            <w:r w:rsidR="00E706E4">
              <w:rPr>
                <w:rFonts w:asciiTheme="minorHAnsi" w:hAnsiTheme="minorHAnsi" w:cs="Arial"/>
                <w:sz w:val="14"/>
                <w:szCs w:val="14"/>
              </w:rPr>
              <w:t>ber, Clayton,</w:t>
            </w:r>
            <w:r w:rsidR="0044063D">
              <w:rPr>
                <w:rFonts w:asciiTheme="minorHAnsi" w:hAnsiTheme="minorHAnsi" w:cs="Arial"/>
                <w:sz w:val="14"/>
                <w:szCs w:val="14"/>
              </w:rPr>
              <w:t xml:space="preserve"> Ciudad de Panamá) dentro del plazo</w:t>
            </w:r>
            <w:r w:rsidR="00E706E4">
              <w:rPr>
                <w:rFonts w:asciiTheme="minorHAnsi" w:hAnsiTheme="minorHAnsi" w:cs="Arial"/>
                <w:sz w:val="14"/>
                <w:szCs w:val="14"/>
              </w:rPr>
              <w:t xml:space="preserve"> previs</w:t>
            </w:r>
            <w:r w:rsidR="0044063D">
              <w:rPr>
                <w:rFonts w:asciiTheme="minorHAnsi" w:hAnsiTheme="minorHAnsi" w:cs="Arial"/>
                <w:sz w:val="14"/>
                <w:szCs w:val="14"/>
              </w:rPr>
              <w:t>to</w:t>
            </w:r>
            <w:r w:rsidR="00E706E4">
              <w:rPr>
                <w:rFonts w:asciiTheme="minorHAnsi" w:hAnsiTheme="minorHAnsi" w:cs="Arial"/>
                <w:sz w:val="14"/>
                <w:szCs w:val="14"/>
              </w:rPr>
              <w:t xml:space="preserve">. </w:t>
            </w:r>
          </w:p>
        </w:tc>
      </w:tr>
      <w:tr w:rsidR="00261367" w:rsidRPr="00804FCA" w14:paraId="0353A1DB" w14:textId="77777777" w:rsidTr="0065395C">
        <w:trPr>
          <w:trHeight w:val="657"/>
        </w:trPr>
        <w:tc>
          <w:tcPr>
            <w:tcW w:w="109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CC793C" w14:textId="77777777" w:rsidR="0065395C" w:rsidRPr="0065395C" w:rsidRDefault="00261367" w:rsidP="00CC44D7">
            <w:pPr>
              <w:spacing w:before="120" w:after="120"/>
              <w:contextualSpacing/>
              <w:jc w:val="both"/>
              <w:rPr>
                <w:rFonts w:asciiTheme="minorHAnsi" w:eastAsia="Times New Roman" w:hAnsiTheme="minorHAnsi" w:cs="Arial"/>
                <w:sz w:val="14"/>
                <w:szCs w:val="14"/>
                <w:lang w:eastAsia="es-ES"/>
              </w:rPr>
            </w:pPr>
            <w:r w:rsidRPr="005F46B5">
              <w:rPr>
                <w:rFonts w:asciiTheme="minorHAnsi" w:eastAsia="Times New Roman" w:hAnsiTheme="minorHAnsi" w:cs="Arial"/>
                <w:b/>
                <w:sz w:val="14"/>
                <w:szCs w:val="14"/>
                <w:lang w:eastAsia="es-ES"/>
              </w:rPr>
              <w:t>EVALUACIÓN:</w:t>
            </w:r>
            <w:r w:rsidRPr="005F46B5">
              <w:rPr>
                <w:rFonts w:asciiTheme="minorHAnsi" w:eastAsia="Times New Roman" w:hAnsiTheme="minorHAnsi" w:cs="Arial"/>
                <w:sz w:val="14"/>
                <w:szCs w:val="14"/>
                <w:lang w:eastAsia="es-ES"/>
              </w:rPr>
              <w:t xml:space="preserve"> La evaluación de las propuestas será realizada por un Comité de Evaluación externo a SENACYT. La Secretaría Nacional hace uso de especialistas nacionales e internacionales.  Entre los evaluadores idóneos por área, modalidad o convocatoria, según sea el caso, la asignación</w:t>
            </w:r>
            <w:r w:rsidR="002A1248">
              <w:rPr>
                <w:rFonts w:asciiTheme="minorHAnsi" w:eastAsia="Times New Roman" w:hAnsiTheme="minorHAnsi" w:cs="Arial"/>
                <w:sz w:val="14"/>
                <w:szCs w:val="14"/>
                <w:lang w:eastAsia="es-ES"/>
              </w:rPr>
              <w:t xml:space="preserve"> de evaluadores</w:t>
            </w:r>
            <w:r w:rsidRPr="005F46B5">
              <w:rPr>
                <w:rFonts w:asciiTheme="minorHAnsi" w:eastAsia="Times New Roman" w:hAnsiTheme="minorHAnsi" w:cs="Arial"/>
                <w:sz w:val="14"/>
                <w:szCs w:val="14"/>
                <w:lang w:eastAsia="es-ES"/>
              </w:rPr>
              <w:t xml:space="preserve"> para cada propuesta será realizada al azar para minimizar sesgos.  Los evaluadores deberán dejar constancia escrita de la ausencia de conflictos de intereses y suscriben una declaración de confidencialidad.  La SENACYT se reserva el derecho de no adjudicar ninguna propuesta si las que fueron recibidas no cumplen con los criterios y calidad esperados o si las circunstancias presupuestarias impiden las adjudicaciones. </w:t>
            </w:r>
          </w:p>
        </w:tc>
      </w:tr>
      <w:tr w:rsidR="00261367" w:rsidRPr="003D25E7" w14:paraId="3643604A" w14:textId="77777777" w:rsidTr="00261367">
        <w:trPr>
          <w:trHeight w:val="431"/>
        </w:trPr>
        <w:tc>
          <w:tcPr>
            <w:tcW w:w="10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3A7504BB" w14:textId="77777777" w:rsidR="00261367" w:rsidRPr="005F46B5" w:rsidRDefault="00261367" w:rsidP="00B53EE3">
            <w:pPr>
              <w:shd w:val="clear" w:color="auto" w:fill="17365D" w:themeFill="text2" w:themeFillShade="BF"/>
              <w:jc w:val="both"/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</w:pP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Es responsabilidad del proponente y </w:t>
            </w:r>
            <w:r w:rsidR="00D102EF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NO</w:t>
            </w: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 de la SENACYT asegurarse que la propuesta </w:t>
            </w:r>
            <w:r w:rsidR="00B53EE3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este completa con su documentación y que</w:t>
            </w:r>
            <w:r w:rsidR="002A1248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 sea </w:t>
            </w: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recibida</w:t>
            </w:r>
            <w:r w:rsidR="00944EFE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 en la SENACYT</w:t>
            </w: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 </w:t>
            </w:r>
            <w:r w:rsidR="002A1248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dentro de los plazos previstos</w:t>
            </w:r>
            <w:r w:rsidR="00B53EE3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>.</w:t>
            </w:r>
            <w:r w:rsidRPr="005F46B5">
              <w:rPr>
                <w:rFonts w:asciiTheme="minorHAnsi" w:hAnsiTheme="minorHAnsi" w:cs="Arial"/>
                <w:b/>
                <w:color w:val="FFFFFF"/>
                <w:sz w:val="14"/>
                <w:szCs w:val="14"/>
              </w:rPr>
              <w:t xml:space="preserve">  </w:t>
            </w: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 xml:space="preserve">CONSULTAS:  </w:t>
            </w:r>
            <w:r w:rsidRPr="005F46B5">
              <w:rPr>
                <w:rStyle w:val="Hyperlink"/>
                <w:rFonts w:asciiTheme="minorHAnsi" w:hAnsiTheme="minorHAnsi"/>
                <w:sz w:val="14"/>
                <w:szCs w:val="14"/>
              </w:rPr>
              <w:t xml:space="preserve"> </w:t>
            </w:r>
            <w:r w:rsidR="004A1124">
              <w:rPr>
                <w:rFonts w:asciiTheme="minorHAnsi" w:hAnsiTheme="minorHAnsi" w:cs="Arial"/>
                <w:b/>
                <w:sz w:val="14"/>
                <w:szCs w:val="14"/>
              </w:rPr>
              <w:t>aprendizaje2016</w:t>
            </w: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@senacyt.gob.pa</w:t>
            </w:r>
            <w:r w:rsidRPr="005F46B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F46B5">
              <w:rPr>
                <w:rFonts w:asciiTheme="minorHAnsi" w:hAnsiTheme="minorHAnsi" w:cs="Arial"/>
                <w:b/>
                <w:sz w:val="14"/>
                <w:szCs w:val="14"/>
              </w:rPr>
              <w:t>o al 517-0041.</w:t>
            </w:r>
            <w:r w:rsidR="00EA38DB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</w:p>
        </w:tc>
      </w:tr>
    </w:tbl>
    <w:p w14:paraId="51D1C602" w14:textId="77777777" w:rsidR="0061318B" w:rsidRDefault="0061318B"/>
    <w:sectPr w:rsidR="0061318B" w:rsidSect="00472D21">
      <w:headerReference w:type="default" r:id="rId9"/>
      <w:pgSz w:w="12240" w:h="20160" w:code="5"/>
      <w:pgMar w:top="842" w:right="1418" w:bottom="90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0DD7" w14:textId="77777777" w:rsidR="00691F8F" w:rsidRDefault="00691F8F" w:rsidP="00261367">
      <w:r>
        <w:separator/>
      </w:r>
    </w:p>
  </w:endnote>
  <w:endnote w:type="continuationSeparator" w:id="0">
    <w:p w14:paraId="4E29D2DB" w14:textId="77777777" w:rsidR="00691F8F" w:rsidRDefault="00691F8F" w:rsidP="0026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8072" w14:textId="77777777" w:rsidR="00691F8F" w:rsidRDefault="00691F8F" w:rsidP="00261367">
      <w:r>
        <w:separator/>
      </w:r>
    </w:p>
  </w:footnote>
  <w:footnote w:type="continuationSeparator" w:id="0">
    <w:p w14:paraId="04BA2395" w14:textId="77777777" w:rsidR="00691F8F" w:rsidRDefault="00691F8F" w:rsidP="002613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4B40" w14:textId="77777777" w:rsidR="007673F6" w:rsidRDefault="007673F6" w:rsidP="00261367">
    <w:pPr>
      <w:pStyle w:val="Header"/>
    </w:pPr>
    <w:r>
      <w:rPr>
        <w:noProof/>
        <w:lang w:val="en-US" w:eastAsia="en-US"/>
      </w:rPr>
      <w:drawing>
        <wp:inline distT="0" distB="0" distL="0" distR="0" wp14:anchorId="443C741C" wp14:editId="5E3F369A">
          <wp:extent cx="1157844" cy="335666"/>
          <wp:effectExtent l="0" t="0" r="4445" b="7620"/>
          <wp:docPr id="3" name="Imagen 3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NACYT (nue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503" cy="340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2623">
      <w:rPr>
        <w:noProof/>
        <w:sz w:val="8"/>
        <w:szCs w:val="8"/>
        <w:lang w:val="en-US" w:eastAsia="en-US"/>
      </w:rPr>
      <w:drawing>
        <wp:anchor distT="0" distB="0" distL="114300" distR="114300" simplePos="0" relativeHeight="251659264" behindDoc="0" locked="0" layoutInCell="1" allowOverlap="1" wp14:anchorId="3A1EA962" wp14:editId="4554DC9C">
          <wp:simplePos x="0" y="0"/>
          <wp:positionH relativeFrom="column">
            <wp:posOffset>5483225</wp:posOffset>
          </wp:positionH>
          <wp:positionV relativeFrom="paragraph">
            <wp:posOffset>-193675</wp:posOffset>
          </wp:positionV>
          <wp:extent cx="694266" cy="5651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66" cy="56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D39"/>
    <w:multiLevelType w:val="hybridMultilevel"/>
    <w:tmpl w:val="24809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7859"/>
    <w:multiLevelType w:val="hybridMultilevel"/>
    <w:tmpl w:val="87CE8B74"/>
    <w:lvl w:ilvl="0" w:tplc="180A0017">
      <w:start w:val="1"/>
      <w:numFmt w:val="lowerLetter"/>
      <w:lvlText w:val="%1)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C1F4B"/>
    <w:multiLevelType w:val="multilevel"/>
    <w:tmpl w:val="CFEC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720"/>
      </w:pPr>
      <w:rPr>
        <w:rFonts w:hint="default"/>
      </w:rPr>
    </w:lvl>
  </w:abstractNum>
  <w:abstractNum w:abstractNumId="3">
    <w:nsid w:val="1D767DE9"/>
    <w:multiLevelType w:val="hybridMultilevel"/>
    <w:tmpl w:val="1BE81AFE"/>
    <w:lvl w:ilvl="0" w:tplc="E3EEAD12">
      <w:numFmt w:val="bullet"/>
      <w:lvlText w:val="-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9B15253"/>
    <w:multiLevelType w:val="hybridMultilevel"/>
    <w:tmpl w:val="0302BD88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0CBC"/>
    <w:multiLevelType w:val="hybridMultilevel"/>
    <w:tmpl w:val="53E00E10"/>
    <w:lvl w:ilvl="0" w:tplc="CEB205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51D29"/>
    <w:multiLevelType w:val="hybridMultilevel"/>
    <w:tmpl w:val="C08C54C4"/>
    <w:lvl w:ilvl="0" w:tplc="CEB205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720AB"/>
    <w:multiLevelType w:val="multilevel"/>
    <w:tmpl w:val="87CE8B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E27E5"/>
    <w:multiLevelType w:val="hybridMultilevel"/>
    <w:tmpl w:val="845A00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74A61"/>
    <w:multiLevelType w:val="hybridMultilevel"/>
    <w:tmpl w:val="58F2D10C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008A3"/>
    <w:multiLevelType w:val="hybridMultilevel"/>
    <w:tmpl w:val="12C8C4A6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67"/>
    <w:rsid w:val="00013351"/>
    <w:rsid w:val="000349ED"/>
    <w:rsid w:val="00065D38"/>
    <w:rsid w:val="00066137"/>
    <w:rsid w:val="000778A3"/>
    <w:rsid w:val="000872B3"/>
    <w:rsid w:val="000B045B"/>
    <w:rsid w:val="000C2CB3"/>
    <w:rsid w:val="00161A71"/>
    <w:rsid w:val="00173555"/>
    <w:rsid w:val="00176CB4"/>
    <w:rsid w:val="001A25D0"/>
    <w:rsid w:val="001C65BF"/>
    <w:rsid w:val="001D0781"/>
    <w:rsid w:val="0022091E"/>
    <w:rsid w:val="00252C62"/>
    <w:rsid w:val="00261367"/>
    <w:rsid w:val="00284902"/>
    <w:rsid w:val="002A1248"/>
    <w:rsid w:val="002B3A9E"/>
    <w:rsid w:val="002C08F8"/>
    <w:rsid w:val="002C6FE9"/>
    <w:rsid w:val="002D28B9"/>
    <w:rsid w:val="002E347E"/>
    <w:rsid w:val="002F7F2D"/>
    <w:rsid w:val="00316F28"/>
    <w:rsid w:val="0033268B"/>
    <w:rsid w:val="00362A96"/>
    <w:rsid w:val="00396B81"/>
    <w:rsid w:val="003A36F6"/>
    <w:rsid w:val="003A4921"/>
    <w:rsid w:val="003D1A82"/>
    <w:rsid w:val="0044063D"/>
    <w:rsid w:val="00441842"/>
    <w:rsid w:val="00472D21"/>
    <w:rsid w:val="004A1124"/>
    <w:rsid w:val="005127B9"/>
    <w:rsid w:val="00536BE9"/>
    <w:rsid w:val="00554584"/>
    <w:rsid w:val="0057359C"/>
    <w:rsid w:val="0057456A"/>
    <w:rsid w:val="005B0F46"/>
    <w:rsid w:val="005E4682"/>
    <w:rsid w:val="005F29B3"/>
    <w:rsid w:val="005F46B5"/>
    <w:rsid w:val="0061318B"/>
    <w:rsid w:val="00616342"/>
    <w:rsid w:val="00627226"/>
    <w:rsid w:val="0063333F"/>
    <w:rsid w:val="00647955"/>
    <w:rsid w:val="0065395C"/>
    <w:rsid w:val="00667926"/>
    <w:rsid w:val="00667F2E"/>
    <w:rsid w:val="00671746"/>
    <w:rsid w:val="00691F8F"/>
    <w:rsid w:val="006A4087"/>
    <w:rsid w:val="006B1165"/>
    <w:rsid w:val="006D680A"/>
    <w:rsid w:val="006E1E85"/>
    <w:rsid w:val="006E23A3"/>
    <w:rsid w:val="00704A98"/>
    <w:rsid w:val="00724D5A"/>
    <w:rsid w:val="0072578D"/>
    <w:rsid w:val="007670DD"/>
    <w:rsid w:val="007673F6"/>
    <w:rsid w:val="00771407"/>
    <w:rsid w:val="007D1E43"/>
    <w:rsid w:val="007E1F4C"/>
    <w:rsid w:val="008178FC"/>
    <w:rsid w:val="00832781"/>
    <w:rsid w:val="00846541"/>
    <w:rsid w:val="008711C7"/>
    <w:rsid w:val="00871758"/>
    <w:rsid w:val="008B06E4"/>
    <w:rsid w:val="00941C6D"/>
    <w:rsid w:val="00944EFE"/>
    <w:rsid w:val="00957F2B"/>
    <w:rsid w:val="00973EFF"/>
    <w:rsid w:val="00983CF0"/>
    <w:rsid w:val="009852C2"/>
    <w:rsid w:val="00987690"/>
    <w:rsid w:val="00A0102B"/>
    <w:rsid w:val="00A0508A"/>
    <w:rsid w:val="00A169CF"/>
    <w:rsid w:val="00A769B4"/>
    <w:rsid w:val="00AA0308"/>
    <w:rsid w:val="00AA7CDC"/>
    <w:rsid w:val="00AB381E"/>
    <w:rsid w:val="00AB464E"/>
    <w:rsid w:val="00AD111D"/>
    <w:rsid w:val="00AF5386"/>
    <w:rsid w:val="00B35B89"/>
    <w:rsid w:val="00B444E6"/>
    <w:rsid w:val="00B53E7B"/>
    <w:rsid w:val="00B53EE3"/>
    <w:rsid w:val="00B6339D"/>
    <w:rsid w:val="00B90CDD"/>
    <w:rsid w:val="00BC57D2"/>
    <w:rsid w:val="00BE5BC5"/>
    <w:rsid w:val="00BE79EF"/>
    <w:rsid w:val="00C065E2"/>
    <w:rsid w:val="00C17937"/>
    <w:rsid w:val="00C20619"/>
    <w:rsid w:val="00C3381D"/>
    <w:rsid w:val="00C51782"/>
    <w:rsid w:val="00C53A2C"/>
    <w:rsid w:val="00C76F2D"/>
    <w:rsid w:val="00CB598D"/>
    <w:rsid w:val="00CC3D59"/>
    <w:rsid w:val="00CC44D7"/>
    <w:rsid w:val="00CC5BAC"/>
    <w:rsid w:val="00D0602B"/>
    <w:rsid w:val="00D102EF"/>
    <w:rsid w:val="00D2197E"/>
    <w:rsid w:val="00D6154C"/>
    <w:rsid w:val="00D86BAE"/>
    <w:rsid w:val="00DB2C08"/>
    <w:rsid w:val="00DB419F"/>
    <w:rsid w:val="00DB7BB2"/>
    <w:rsid w:val="00E27F08"/>
    <w:rsid w:val="00E33E61"/>
    <w:rsid w:val="00E66798"/>
    <w:rsid w:val="00E706E4"/>
    <w:rsid w:val="00E92166"/>
    <w:rsid w:val="00EA38DB"/>
    <w:rsid w:val="00EC4E2F"/>
    <w:rsid w:val="00EC5811"/>
    <w:rsid w:val="00F16286"/>
    <w:rsid w:val="00F41EC7"/>
    <w:rsid w:val="00F46EC2"/>
    <w:rsid w:val="00F477CD"/>
    <w:rsid w:val="00F62733"/>
    <w:rsid w:val="00F66E02"/>
    <w:rsid w:val="00F86136"/>
    <w:rsid w:val="00F87144"/>
    <w:rsid w:val="00F9593F"/>
    <w:rsid w:val="00FD2284"/>
    <w:rsid w:val="00FF38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5BE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13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36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36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Footer">
    <w:name w:val="footer"/>
    <w:basedOn w:val="Normal"/>
    <w:link w:val="FooterChar"/>
    <w:uiPriority w:val="99"/>
    <w:unhideWhenUsed/>
    <w:rsid w:val="002613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36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67"/>
    <w:rPr>
      <w:rFonts w:ascii="Tahoma" w:eastAsia="MS Mincho" w:hAnsi="Tahoma" w:cs="Tahoma"/>
      <w:sz w:val="16"/>
      <w:szCs w:val="16"/>
      <w:lang w:val="es-ES" w:eastAsia="ja-JP"/>
    </w:rPr>
  </w:style>
  <w:style w:type="character" w:styleId="Emphasis">
    <w:name w:val="Emphasis"/>
    <w:basedOn w:val="DefaultParagraphFont"/>
    <w:qFormat/>
    <w:rsid w:val="002209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84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nacyt.gob.pa" TargetMode="External"/><Relationship Id="rId8" Type="http://schemas.openxmlformats.org/officeDocument/2006/relationships/hyperlink" Target="mailto:aprendizaje2016@senacyt.gob.pa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1216</Words>
  <Characters>6936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ggarcia</dc:creator>
  <cp:lastModifiedBy>Maria Heller</cp:lastModifiedBy>
  <cp:revision>3</cp:revision>
  <cp:lastPrinted>2012-04-02T18:46:00Z</cp:lastPrinted>
  <dcterms:created xsi:type="dcterms:W3CDTF">2015-11-16T16:25:00Z</dcterms:created>
  <dcterms:modified xsi:type="dcterms:W3CDTF">2015-12-15T09:52:00Z</dcterms:modified>
</cp:coreProperties>
</file>